
<file path=[Content_Types].xml><?xml version="1.0" encoding="utf-8"?>
<Types xmlns="http://schemas.openxmlformats.org/package/2006/content-types">
  <Default Extension="png" ContentType="image/png"/>
  <Default Extension="svg" ContentType="image/svg+xml"/>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5.xml" ContentType="application/vnd.openxmlformats-officedocument.wordprocessingml.footer+xml"/>
  <Override PartName="/word/footer6.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5C2102" w:rsidRDefault="005C2102" w:rsidP="003060B7">
      <w:pPr>
        <w:pStyle w:val="TitelDeckblatt"/>
        <w:rPr>
          <w:sz w:val="96"/>
        </w:rPr>
      </w:pPr>
      <w:r w:rsidRPr="005C2102">
        <w:rPr>
          <w:sz w:val="96"/>
        </w:rPr>
        <w:t>Konjunkturbeobachtung Gewerbe und Handwerk</w:t>
      </w:r>
    </w:p>
    <w:p w:rsidR="005C2102" w:rsidRPr="005C2102" w:rsidRDefault="00943E0A" w:rsidP="003060B7">
      <w:pPr>
        <w:pStyle w:val="TitelDeckblatt"/>
        <w:rPr>
          <w:sz w:val="96"/>
        </w:rPr>
      </w:pPr>
      <w:r w:rsidRPr="00943E0A">
        <w:rPr>
          <w:sz w:val="96"/>
        </w:rPr>
        <w:t>Österreich</w:t>
      </w:r>
    </w:p>
    <w:p w:rsidR="009D0F0A" w:rsidRDefault="00943E0A" w:rsidP="00583573">
      <w:pPr>
        <w:pStyle w:val="Untertitel"/>
      </w:pPr>
      <w:r>
        <w:t>Gesamtjahr 2023 und 1. Quartal 2024</w:t>
      </w:r>
    </w:p>
    <w:p w:rsidR="001C577D" w:rsidRDefault="00943E0A" w:rsidP="00670161">
      <w:pPr>
        <w:pStyle w:val="Datum"/>
        <w:framePr w:wrap="around"/>
      </w:pPr>
      <w:r>
        <w:t>April 2024</w:t>
      </w:r>
    </w:p>
    <w:p w:rsidR="001736E2" w:rsidRDefault="001736E2" w:rsidP="00670161"/>
    <w:p w:rsidR="001736E2" w:rsidRPr="004D3343" w:rsidRDefault="001736E2" w:rsidP="00670161">
      <w:pPr>
        <w:sectPr w:rsidR="001736E2" w:rsidRPr="004D3343" w:rsidSect="00A36291">
          <w:headerReference w:type="even" r:id="rId8"/>
          <w:headerReference w:type="default" r:id="rId9"/>
          <w:footerReference w:type="even" r:id="rId10"/>
          <w:footerReference w:type="default" r:id="rId11"/>
          <w:headerReference w:type="first" r:id="rId12"/>
          <w:footerReference w:type="first" r:id="rId13"/>
          <w:pgSz w:w="11906" w:h="16838"/>
          <w:pgMar w:top="1531" w:right="964" w:bottom="1077" w:left="964" w:header="709" w:footer="851" w:gutter="397"/>
          <w:cols w:space="708"/>
          <w:titlePg/>
          <w:docGrid w:linePitch="360"/>
        </w:sectPr>
      </w:pPr>
    </w:p>
    <w:p w:rsidR="00C73DEA" w:rsidRPr="008D5014" w:rsidRDefault="00C73DEA" w:rsidP="00C73DEA">
      <w:pPr>
        <w:pStyle w:val="Titel"/>
      </w:pPr>
      <w:r>
        <w:lastRenderedPageBreak/>
        <w:t>Zur Studie</w:t>
      </w:r>
    </w:p>
    <w:p w:rsidR="007816ED" w:rsidRDefault="007816ED" w:rsidP="007816ED">
      <w:r>
        <w:t>Diese Studie wurde mit größtmöglicher Sorgfalt erstellt. Für die Richtigkeit, Vollständigkeit und Aktualität der Inhalte übernimmt die KMU Forschung Austria jedoch keine Gewähr. Eine Haftung der KMU Forschung Austria und der Autorinnen und Autoren ist somit ausgeschlossen.</w:t>
      </w:r>
    </w:p>
    <w:p w:rsidR="007816ED" w:rsidRDefault="007816ED" w:rsidP="007816ED">
      <w:r>
        <w:t>Dieses Werk ist urheberrechtlich geschützt. Jede Art von Nachdruck, Vervielfältigung, Verbreitung, Wiedergabe, Übersetzung oder Einspeicherung und Verwendung in Datenverarbeitungssystemen, und sei es auch nur auszugsweise, ist nur mit ausdrücklicher Zustimmung der KMU Forschung Austria gestattet.</w:t>
      </w:r>
    </w:p>
    <w:p w:rsidR="00232A18" w:rsidRDefault="007816ED" w:rsidP="007816ED">
      <w:r>
        <w:t>Für die elektronische Einspeicherung, An- und Verwendung der Auswertungen im Rahmen unmittelbarer interner Belange des Auftraggebers, in Verhandlungen mit anderen Organisationen und Institutionen sowie bei Presseaussendungen und Pressekonferenzen unter der Voraussetzung der Quellenangabe, wird die Genehmigung der KMU Forschung Austria im Voraus erteilt.</w:t>
      </w:r>
    </w:p>
    <w:p w:rsidR="00C73DEA" w:rsidRDefault="00C73DEA" w:rsidP="00C73DEA"/>
    <w:tbl>
      <w:tblPr>
        <w:tblStyle w:val="KMFATabelle"/>
        <w:tblW w:w="5000" w:type="pct"/>
        <w:tblLook w:val="04A0" w:firstRow="1" w:lastRow="0" w:firstColumn="1" w:lastColumn="0" w:noHBand="0" w:noVBand="1"/>
      </w:tblPr>
      <w:tblGrid>
        <w:gridCol w:w="9581"/>
      </w:tblGrid>
      <w:tr w:rsidR="00C73DEA" w:rsidTr="00D441F9">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639" w:type="dxa"/>
          </w:tcPr>
          <w:p w:rsidR="00C73DEA" w:rsidRDefault="00C73DEA" w:rsidP="00370341">
            <w:r>
              <w:t>Auftraggeber</w:t>
            </w:r>
          </w:p>
        </w:tc>
      </w:tr>
      <w:tr w:rsidR="00C73DEA" w:rsidTr="00D441F9">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639" w:type="dxa"/>
          </w:tcPr>
          <w:p w:rsidR="00C73DEA" w:rsidRDefault="00232A18" w:rsidP="00370341">
            <w:r w:rsidRPr="00232A18">
              <w:t>Wirtschaftskammer Österreich, Bundessparte und Landessparten Gewerbe und Handwerk</w:t>
            </w:r>
          </w:p>
        </w:tc>
      </w:tr>
    </w:tbl>
    <w:p w:rsidR="00C73DEA" w:rsidRDefault="00C73DEA" w:rsidP="00C73DEA"/>
    <w:tbl>
      <w:tblPr>
        <w:tblStyle w:val="KMFATabelle"/>
        <w:tblW w:w="5000" w:type="pct"/>
        <w:tblLook w:val="04A0" w:firstRow="1" w:lastRow="0" w:firstColumn="1" w:lastColumn="0" w:noHBand="0" w:noVBand="1"/>
      </w:tblPr>
      <w:tblGrid>
        <w:gridCol w:w="9581"/>
      </w:tblGrid>
      <w:tr w:rsidR="00C73DEA" w:rsidTr="000134F1">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581" w:type="dxa"/>
          </w:tcPr>
          <w:p w:rsidR="00C73DEA" w:rsidRDefault="006E6F9F" w:rsidP="00370341">
            <w:r>
              <w:t>Verfasser</w:t>
            </w:r>
            <w:r w:rsidR="00C73DEA">
              <w:t>innen</w:t>
            </w:r>
          </w:p>
        </w:tc>
      </w:tr>
      <w:tr w:rsidR="00C73DEA" w:rsidTr="000134F1">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581" w:type="dxa"/>
          </w:tcPr>
          <w:p w:rsidR="00C73DEA" w:rsidRDefault="00C73DEA" w:rsidP="00370341">
            <w:pPr>
              <w:rPr>
                <w:b w:val="0"/>
              </w:rPr>
            </w:pPr>
            <w:r>
              <w:t>KMU Forschung Austria</w:t>
            </w:r>
          </w:p>
          <w:p w:rsidR="00C73DEA" w:rsidRDefault="00C73DEA" w:rsidP="00370341">
            <w:r>
              <w:t>Gußhausstraße 8, A-1040 Wien</w:t>
            </w:r>
          </w:p>
        </w:tc>
      </w:tr>
      <w:tr w:rsidR="00C73DEA" w:rsidTr="000134F1">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581" w:type="dxa"/>
          </w:tcPr>
          <w:p w:rsidR="00C73DEA" w:rsidRDefault="00232A18" w:rsidP="00370341">
            <w:r w:rsidRPr="00232A18">
              <w:t>Karin Gavac</w:t>
            </w:r>
          </w:p>
        </w:tc>
      </w:tr>
      <w:tr w:rsidR="00C73DEA" w:rsidTr="000134F1">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581" w:type="dxa"/>
          </w:tcPr>
          <w:p w:rsidR="00C73DEA" w:rsidRPr="002235D4" w:rsidRDefault="00232A18" w:rsidP="00370341">
            <w:pPr>
              <w:rPr>
                <w:highlight w:val="yellow"/>
              </w:rPr>
            </w:pPr>
            <w:r w:rsidRPr="00232A18">
              <w:t>Cornelia Fürst</w:t>
            </w:r>
          </w:p>
        </w:tc>
      </w:tr>
      <w:tr w:rsidR="00D105DF" w:rsidTr="00D105DF">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581" w:type="dxa"/>
            <w:shd w:val="clear" w:color="auto" w:fill="auto"/>
          </w:tcPr>
          <w:p w:rsidR="00D105DF" w:rsidRPr="00232A18" w:rsidRDefault="00D105DF" w:rsidP="00370341"/>
        </w:tc>
      </w:tr>
      <w:tr w:rsidR="00D105DF" w:rsidRPr="00D105DF" w:rsidTr="00D105DF">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581" w:type="dxa"/>
            <w:shd w:val="clear" w:color="auto" w:fill="005D89"/>
          </w:tcPr>
          <w:p w:rsidR="00D105DF" w:rsidRPr="00D105DF" w:rsidRDefault="00D105DF" w:rsidP="00370341">
            <w:pPr>
              <w:rPr>
                <w:color w:val="FFFFFF" w:themeColor="background1"/>
              </w:rPr>
            </w:pPr>
            <w:r w:rsidRPr="00D105DF">
              <w:rPr>
                <w:color w:val="FFFFFF" w:themeColor="background1"/>
              </w:rPr>
              <w:t>Assistenz</w:t>
            </w:r>
          </w:p>
        </w:tc>
      </w:tr>
      <w:tr w:rsidR="00D105DF" w:rsidTr="000134F1">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581" w:type="dxa"/>
          </w:tcPr>
          <w:p w:rsidR="00D105DF" w:rsidRPr="00232A18" w:rsidRDefault="00D105DF" w:rsidP="00370341">
            <w:r>
              <w:t>Natalie Rauter</w:t>
            </w:r>
          </w:p>
        </w:tc>
      </w:tr>
    </w:tbl>
    <w:p w:rsidR="00C73DEA" w:rsidRPr="006B60A9" w:rsidRDefault="00C73DEA" w:rsidP="00C73DEA"/>
    <w:tbl>
      <w:tblPr>
        <w:tblStyle w:val="KMFATabelle"/>
        <w:tblW w:w="5000" w:type="pct"/>
        <w:tblLook w:val="04A0" w:firstRow="1" w:lastRow="0" w:firstColumn="1" w:lastColumn="0" w:noHBand="0" w:noVBand="1"/>
      </w:tblPr>
      <w:tblGrid>
        <w:gridCol w:w="9581"/>
      </w:tblGrid>
      <w:tr w:rsidR="00C73DEA" w:rsidTr="00D441F9">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639" w:type="dxa"/>
          </w:tcPr>
          <w:p w:rsidR="00C73DEA" w:rsidRDefault="00C73DEA" w:rsidP="00370341">
            <w:r>
              <w:t>Internes Review / Begutachtung</w:t>
            </w:r>
          </w:p>
        </w:tc>
      </w:tr>
      <w:tr w:rsidR="00C73DEA" w:rsidTr="00D441F9">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639" w:type="dxa"/>
          </w:tcPr>
          <w:p w:rsidR="00C73DEA" w:rsidRDefault="00232A18" w:rsidP="00370341">
            <w:r w:rsidRPr="00232A18">
              <w:t>Christina Enichlmair</w:t>
            </w:r>
            <w:r>
              <w:t xml:space="preserve"> </w:t>
            </w:r>
            <w:r w:rsidRPr="00232A18">
              <w:t>(Projektleitung)</w:t>
            </w:r>
          </w:p>
        </w:tc>
      </w:tr>
    </w:tbl>
    <w:p w:rsidR="00C73DEA" w:rsidRDefault="00C73DEA" w:rsidP="00C73DEA"/>
    <w:tbl>
      <w:tblPr>
        <w:tblStyle w:val="KMFATabelle"/>
        <w:tblW w:w="5000" w:type="pct"/>
        <w:tblLook w:val="04A0" w:firstRow="1" w:lastRow="0" w:firstColumn="1" w:lastColumn="0" w:noHBand="0" w:noVBand="1"/>
      </w:tblPr>
      <w:tblGrid>
        <w:gridCol w:w="9581"/>
      </w:tblGrid>
      <w:tr w:rsidR="00C73DEA" w:rsidTr="00D441F9">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303" w:type="dxa"/>
          </w:tcPr>
          <w:p w:rsidR="00C73DEA" w:rsidRDefault="00C73DEA" w:rsidP="00370341">
            <w:r>
              <w:t>Rückfragen</w:t>
            </w:r>
          </w:p>
        </w:tc>
      </w:tr>
      <w:tr w:rsidR="00C73DEA" w:rsidTr="00D441F9">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303" w:type="dxa"/>
          </w:tcPr>
          <w:p w:rsidR="00C73DEA" w:rsidRDefault="003F1E12" w:rsidP="00370341">
            <w:r w:rsidRPr="003F1E12">
              <w:t>Mag. Christina Enichlmair, MA</w:t>
            </w:r>
          </w:p>
        </w:tc>
      </w:tr>
      <w:tr w:rsidR="00C73DEA" w:rsidTr="00D441F9">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303" w:type="dxa"/>
          </w:tcPr>
          <w:p w:rsidR="00C73DEA" w:rsidRPr="002235D4" w:rsidRDefault="003F1E12" w:rsidP="00370341">
            <w:pPr>
              <w:rPr>
                <w:highlight w:val="yellow"/>
              </w:rPr>
            </w:pPr>
            <w:r>
              <w:t>Tel.: +43 1 505 97 61</w:t>
            </w:r>
          </w:p>
        </w:tc>
      </w:tr>
      <w:tr w:rsidR="00C73DEA" w:rsidTr="00D441F9">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303" w:type="dxa"/>
          </w:tcPr>
          <w:p w:rsidR="00C73DEA" w:rsidRPr="002235D4" w:rsidRDefault="003F1E12" w:rsidP="00370341">
            <w:pPr>
              <w:rPr>
                <w:highlight w:val="yellow"/>
              </w:rPr>
            </w:pPr>
            <w:r w:rsidRPr="003F1E12">
              <w:t>c.enichlmair@kmuforschung.ac.at</w:t>
            </w:r>
          </w:p>
        </w:tc>
      </w:tr>
    </w:tbl>
    <w:p w:rsidR="00C73DEA" w:rsidRDefault="00C73DEA" w:rsidP="00C73DEA"/>
    <w:p w:rsidR="00C73DEA" w:rsidRDefault="00C73DEA" w:rsidP="00C73DEA"/>
    <w:p w:rsidR="00C73DEA" w:rsidRPr="002A1992" w:rsidRDefault="00C73DEA" w:rsidP="00C73DEA">
      <w:pPr>
        <w:spacing w:after="360"/>
        <w:rPr>
          <w:rStyle w:val="HervorhebungKMFAblau"/>
        </w:rPr>
      </w:pPr>
      <w:r w:rsidRPr="002A1992">
        <w:rPr>
          <w:rStyle w:val="HervorhebungKMFAblau"/>
        </w:rPr>
        <w:t>Die KMU Forschung Austria ist Mitglied bei:</w:t>
      </w:r>
    </w:p>
    <w:p w:rsidR="00C73DEA" w:rsidRDefault="00C73DEA" w:rsidP="00424A19">
      <w:r>
        <w:rPr>
          <w:noProof/>
          <w:lang w:eastAsia="de-AT"/>
        </w:rPr>
        <mc:AlternateContent>
          <mc:Choice Requires="wpg">
            <w:drawing>
              <wp:inline distT="0" distB="0" distL="0" distR="0" wp14:anchorId="353F42D8" wp14:editId="56F417DB">
                <wp:extent cx="2696400" cy="493200"/>
                <wp:effectExtent l="0" t="0" r="0" b="2540"/>
                <wp:docPr id="5" name="Gruppieren 5"/>
                <wp:cNvGraphicFramePr>
                  <a:graphicFrameLocks xmlns:a="http://schemas.openxmlformats.org/drawingml/2006/main" noChangeAspect="1"/>
                </wp:cNvGraphicFramePr>
                <a:graphic xmlns:a="http://schemas.openxmlformats.org/drawingml/2006/main">
                  <a:graphicData uri="http://schemas.microsoft.com/office/word/2010/wordprocessingGroup">
                    <wpg:wgp>
                      <wpg:cNvGrpSpPr>
                        <a:grpSpLocks noChangeAspect="1"/>
                      </wpg:cNvGrpSpPr>
                      <wpg:grpSpPr>
                        <a:xfrm>
                          <a:off x="0" y="0"/>
                          <a:ext cx="2696400" cy="493200"/>
                          <a:chOff x="0" y="0"/>
                          <a:chExt cx="2949848" cy="539750"/>
                        </a:xfrm>
                      </wpg:grpSpPr>
                      <pic:pic xmlns:pic="http://schemas.openxmlformats.org/drawingml/2006/picture">
                        <pic:nvPicPr>
                          <pic:cNvPr id="2" name="Grafik 2"/>
                          <pic:cNvPicPr>
                            <a:picLocks noChangeAspect="1"/>
                          </pic:cNvPicPr>
                        </pic:nvPicPr>
                        <pic:blipFill>
                          <a:blip r:embed="rId14" cstate="print">
                            <a:extLst>
                              <a:ext uri="{28A0092B-C50C-407E-A947-70E740481C1C}">
                                <a14:useLocalDpi xmlns:a14="http://schemas.microsoft.com/office/drawing/2010/main" val="0"/>
                              </a:ext>
                              <a:ext uri="{96DAC541-7B7A-43D3-8B79-37D633B846F1}">
                                <asvg:svgBlip xmlns=""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urn:schemas-microsoft-com:office:office" xmlns:oel="http://schemas.microsoft.com/office/2019/extlst" xmlns:v="urn:schemas-microsoft-com:vml" xmlns:w10="urn:schemas-microsoft-com:office:word" xmlns:w="http://schemas.openxmlformats.org/wordprocessingml/2006/main" xmlns:w16cex="http://schemas.microsoft.com/office/word/2018/wordml/cex" xmlns:w16cid="http://schemas.microsoft.com/office/word/2016/wordml/cid" xmlns:w16="http://schemas.microsoft.com/office/word/2018/wordml" xmlns:w16sdtdh="http://schemas.microsoft.com/office/word/2020/wordml/sdtdatahash" xmlns:asvg="http://schemas.microsoft.com/office/drawing/2016/SVG/main" r:embed="rId15"/>
                              </a:ext>
                            </a:extLst>
                          </a:blip>
                          <a:stretch>
                            <a:fillRect/>
                          </a:stretch>
                        </pic:blipFill>
                        <pic:spPr>
                          <a:xfrm>
                            <a:off x="0" y="0"/>
                            <a:ext cx="1216660" cy="539750"/>
                          </a:xfrm>
                          <a:prstGeom prst="rect">
                            <a:avLst/>
                          </a:prstGeom>
                        </pic:spPr>
                      </pic:pic>
                      <pic:pic xmlns:pic="http://schemas.openxmlformats.org/drawingml/2006/picture">
                        <pic:nvPicPr>
                          <pic:cNvPr id="4" name="Grafik 4"/>
                          <pic:cNvPicPr>
                            <a:picLocks noChangeAspect="1"/>
                          </pic:cNvPicPr>
                        </pic:nvPicPr>
                        <pic:blipFill>
                          <a:blip r:embed="rId16" cstate="print">
                            <a:extLst>
                              <a:ext uri="{28A0092B-C50C-407E-A947-70E740481C1C}">
                                <a14:useLocalDpi xmlns:a14="http://schemas.microsoft.com/office/drawing/2010/main" val="0"/>
                              </a:ext>
                              <a:ext uri="{96DAC541-7B7A-43D3-8B79-37D633B846F1}">
                                <asvg:svgBlip xmlns=""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urn:schemas-microsoft-com:office:office" xmlns:oel="http://schemas.microsoft.com/office/2019/extlst" xmlns:v="urn:schemas-microsoft-com:vml" xmlns:w10="urn:schemas-microsoft-com:office:word" xmlns:w="http://schemas.openxmlformats.org/wordprocessingml/2006/main" xmlns:w16cex="http://schemas.microsoft.com/office/word/2018/wordml/cex" xmlns:w16cid="http://schemas.microsoft.com/office/word/2016/wordml/cid" xmlns:w16="http://schemas.microsoft.com/office/word/2018/wordml" xmlns:w16sdtdh="http://schemas.microsoft.com/office/word/2020/wordml/sdtdatahash" xmlns:asvg="http://schemas.microsoft.com/office/drawing/2016/SVG/main" r:embed="rId17"/>
                              </a:ext>
                            </a:extLst>
                          </a:blip>
                          <a:stretch>
                            <a:fillRect/>
                          </a:stretch>
                        </pic:blipFill>
                        <pic:spPr>
                          <a:xfrm>
                            <a:off x="1582058" y="50800"/>
                            <a:ext cx="1367790" cy="359410"/>
                          </a:xfrm>
                          <a:prstGeom prst="rect">
                            <a:avLst/>
                          </a:prstGeom>
                        </pic:spPr>
                      </pic:pic>
                    </wpg:wgp>
                  </a:graphicData>
                </a:graphic>
              </wp:inline>
            </w:drawing>
          </mc:Choice>
          <mc:Fallback>
            <w:pict>
              <v:group w14:anchorId="5D932155" id="Gruppieren 5" o:spid="_x0000_s1026" style="width:212.3pt;height:38.85pt;mso-position-horizontal-relative:char;mso-position-vertical-relative:line" coordsize="29498,5397"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KmUx3CQMAAIcJAAAOAAAAZHJzL2Uyb0RvYy54bWzsVslu2zAQvRfoPwi6&#10;K9pXxA68JEaBoA26fABNUxIRSSRI2k5Q5N87pGQ7toM2CHIJ0IOE4TLDmXnzOLy8emgba0OEpKwb&#10;2f6FZ1ukw2xFu2pk//p542S2JRXqVqhhHRnZj0TaV+PPny63vCABq1mzIsICI50stnxk10rxwnUl&#10;rkmL5AXjpIPFkokWKRiKyl0JtAXrbeMGnpe4WyZWXDBMpITZeb9oj439siRYfStLSZTVjGzwTZm/&#10;MP+l/rvjS1RUAvGa4sEN9AYvWkQ7OHRvao4UstaCnplqKRZMslJdYNa6rCwpJiYGiMb3TqJZCLbm&#10;Jpaq2FZ8nyZI7Ume3mwWf93cCYuuRnZsWx1qAaKFWHNOiSCdFev8bHlVwLaF4D/4neiDBPGW4Xtp&#10;dWxWo64iE8kh11ABWsM9VdHj6qD/UIpW24HwrQeDxeMeC/KgLAyTQZInkQeQYViL8hDA7sHCNSB6&#10;pobr651iHuVZBGWnFeMwT2Oj6KKiP9Y4t3eGU1zAN6QWpLPU/rsEQUutBbEHI+2rbLRI3K+5A1XA&#10;kaJL2lD1aCoa8NZOdZs7inW69eCAUnBACZX03gp0UnZbegWkA/obOsfbXT08Om3ZUH5Dm0ZDpOUh&#10;LmDNSdW9kJq+oucMr1vSqZ6igjQQIutkTbm0LVGQdkmg4sSXlQ8wwfWgoOy4oJ2C4FEBJXAr1SD1&#10;LPodZBPPy4OpM4u9mRN56bUzyaPUSb3rNPKizJ/5syet7UfFWhIIHzVzTgfXYfbM+RcpM1wuPRkN&#10;qa0NMleHLmvj2rFfeTKfzOLId9JpOnGicB462TTNnTCdJ2E4zaLkxn8ynDjEBXZ0WrUhqQRRuNZi&#10;CRn/DhzqD9ovGHgOiGiw5EDD19DID/wkSQYavcAGKBYh1YKw1tICgAIuGBTQBkDondltgRQczjci&#10;DPvyA+HDcCg64VD0sTkEV8J/Dr0Th/w4C7wYmofuHV626zm7puSHSZrmA5vCOI/8497yHmwy/Qm6&#10;vblvhpeJfk48H4P8/P00/gMAAP//AwBQSwMEFAAGAAgAAAAhAC5s8ADFAAAApQEAABkAAABkcnMv&#10;X3JlbHMvZTJvRG9jLnhtbC5yZWxzvJDBisIwEIbvC/sOYe7btD0sspj2IoJXcR9gSKZpsJmEJIq+&#10;vYFlQUHw5nFm+L//Y9bjxS/iTCm7wAq6pgVBrINxbBX8HrZfKxC5IBtcApOCK2UYh8+P9Z4WLDWU&#10;ZxezqBTOCuZS4o+UWc/kMTchEtfLFJLHUsdkZUR9REuyb9tvme4ZMDwwxc4oSDvTgzhcY21+zQ7T&#10;5DRtgj554vKkQjpfuysQk6WiwJNx+Lfsm8gW5HOH7j0O3b+DfHjucAMAAP//AwBQSwMEFAAGAAgA&#10;AAAhAKT7oAndAAAABAEAAA8AAABkcnMvZG93bnJldi54bWxMj0FrwkAQhe8F/8Myhd7qJtaakmYj&#10;IrYnEaqF0tuYHZNgdjZk1yT++269tJeBx3u89022HE0jeupcbVlBPI1AEBdW11wq+Dy8Pb6AcB5Z&#10;Y2OZFFzJwTKf3GWYajvwB/V7X4pQwi5FBZX3bSqlKyoy6Ka2JQ7eyXYGfZBdKXWHQyg3jZxF0UIa&#10;rDksVNjSuqLivL8YBe8DDquneNNvz6f19fvwvPvaxqTUw/24egXhafR/YfjFD+iQB6ajvbB2olEQ&#10;HvG3G7z5bL4AcVSQJAnIPJP/4fMfAAAA//8DAFBLAwQKAAAAAAAAACEAE5B67d4gAADeIAAAFAAA&#10;AGRycy9tZWRpYS9pbWFnZTEucG5niVBORw0KGgoAAAANSUhEUgAAAQwAAAB3CAYAAAGBGU6zAAAA&#10;AXNSR0IArs4c6QAAAARnQU1BAACxjwv8YQUAAAAJcEhZcwAAIdUAACHVAQSctJ0AACBzSURBVHhe&#10;7Z0LlCRXWccHAu5junuSCEaMAcR4xCD42JgsyWa7ewQOEkhgZ3pW9GiUkM3ODMmyj+5eQBwVFI+K&#10;EHlI2JlZjPhg0SOiBIQk0z3kqIEgmQc+IhqCCgSD2e3eDRCSjPXV/r/K17e/qr7VXd3TPXt/5/xP&#10;3br3/333UbdqZ3b6MRTFycXdaySc9hbu3ByEed5VwjqXQlP3sOmo64Ox7eB1R1e7uyJyIJPzq//p&#10;VwLqnLRndvningwExQbO/unD/iBMcdvQhTds8o0Kfrs4SmRdUNYui+zMHASL2rROGNu2oHyqOvF+&#10;ORDuiMrcGUnWE5wgSKTAsTgN4Pqmdm1FSGTishR5ZIKGZApmO583xcnLM31k5UPcIRmlqF220TmR&#10;zh2+H8UAM04i6xra5UB4xkmQyZX+G8VI0qOH70NR37RMkoOzQg5GG1TYQLsGD2jt7m1PRdXQvbe+&#10;NPSZ0VVOVAq39XwFGF4JcwA9GZDZuTw36+mYOGZHYdh42sY2+fT88odRTBZzAJOz97wLRR9+arJQ&#10;nSxhq0CPWHMAPAjzEd3wOPagc+/p+SYu+5VAjYs7CBIHm0eGzs06RvM2DYI6oSMnYvEAuI2PI/nS&#10;Y3xuwrE49eG6hjZlEI/wbLljKfIEwR4NyRTMNjPWL8hBcCd05OQsqie4Dac+5jmhxRIN5zsmzwnO&#10;eSBytoR53nVoEPXK+M/VFwofQVUDPRuMvDQmUW2Jw52ZHfZsAFHIwbUSQjYO2iRJaLaC/Ccqu34I&#10;p4OHOXkSmoZOLkx8HcVQwuL5ODBok+iEpPP1DDno2u1j16HaismjK59D0afn//4kiVwIEqoDzInJ&#10;f7U18WKYiyI9qGogrF4ic0ihWUXzs0ZypX+D7TRRC6HBicxJR0nGsfxkAq1OEhbXiqi4hja5EGGL&#10;MTW3cpInRHACTeYiaHE4Vc9RDIVjpNAUSphPrW+1GARPio6cRE44Sn4CD61zWWe22aLllZjtfJ7J&#10;lRdR9QRyMcIWRE6Ok4XJ9JOoTrabRLUx7JG+OHE4DQiN1RZDmxDD52HtA49cENLU/PJbwyZJK0pt&#10;cnUzudItXOZ6UlD//MlzqI1hbyp36HIuM+l86csoBj7608RIvvxoZrT0O6af4Dp55HImX/4AHb34&#10;D1IdHYcvvfE8M6aBtYXsZrkgJyqFBTTFQuY4vjB2MaoHFzkhkrcwq2jyqVUKj5kelt9enbD6f/mB&#10;RJu0VG1x4luwnjk0LECl8Aiqzwzk5FupVh3/GMI2FtpkWbXKxOOwBVAdt9cXxm5G9eAjJ85Cky1P&#10;aiOmv1hbuPpscxHkpBYWsk/R2k0dXyi8mvxU9gMHEXNSqLbCjCWdWCgsoXmwMCeC6tiYeTrJtS50&#10;Y/DdyNkTkhz41NzKXw3sL26dLIQ2aarbGIuh/DkgbGI8aTl5eT753uXn+MZBoWEhPKE6QE6U4V+N&#10;NcnFCIvDaQNRbRL2SaEpFC2GBctpWi2GBiUxJx0lhDUMClUBYfUSzUPnqfyhwzhVCYtrqu/FYpA4&#10;Th2Eh1ZnQu2brzhwAU6tCcvdVN+rxSBx56xUvvRBpLRejFYejbC4pnq5EPVq4ddQHQkn0WQuwNDM&#10;zJMR1tC5LBPmuQZ7pNAUSZi3qV4uxsnFiQdRHeBPSBwJTqJJLoSMIdiD04Zzsy2KkdHy4+y3iTO9&#10;UrCcpnEx9NtEToyOlITrWmnqyD2f8pN4aAPgOq3NBps40xMaY7MYhJwgJZLnUZqcXwneIaANguu0&#10;NhOt3TbO9ITGtVqM6bnVX5UT5ESaJmeX30sx0u8n8WAPTgNkPKqakB728Qv7+DwMzRMaF7YYPBE5&#10;MRIn0uQHAhlD55qHiWqTsE8KTaGE+dR6uRi8INPzKzfJyfCECC6HtQ88cjH+71MvGgmbJJ/LdtNj&#10;xQv2fg8dMjtLL/bPn+BJOAbYvi/CxLuN/hzFeMjFIFHd1NzS/d6v4//gGyLgrUZ/RkxlS+N+JUhn&#10;yx8azhbfSmW5Lbde8cZncJ08Mnyeyh7YweVMvvjqdL70y1RmqG0kV35AxnPZrKM/KXJZHlW0BbGl&#10;rd3R73SyIJIkcvQFciLmZE4ujP8CiipRsQOLOSltYpqHhOaNhzZZEpqboDbtr20bim/cPvY8c0FM&#10;weqQPPzpwg5tseKoXp04jnSOQUW7sN3Qhn8UDTraRWslhHZEN3I6EsC8MGGCXaVWKbxDi2klhDdw&#10;7FjhrKh2Rxd5YCGbkhcoTLA3we316vgoqkKJek1pmBDqY547uoR5ETTB2lXqi4Vvan2bgn3oePWV&#10;L0HRkSTaopuCdV3QxiMFmyNJtIWWgm3dkP8Nr42P5f26W/cDHJ2jLbAUbD3lte9f+n468oaQG8PR&#10;A7SNIAVbouw5uvxc84KzYPE3xPTsyqNmOwkWRzfRNgMLllBsLhj9Aa9dmfmlkL4JMweqrWg3LgyZ&#10;T9PQ0BMv8GoXLW+UMvniMkLD0TYDq75Q2A9bJNmZhaegqKINzlbahpCanl+uoZsALQ8JzZHE9Ych&#10;89gKobHRcsUR0jSibQgWLB0jB6Fd3CSErnxkf6ZgCSWONwyZwyZPJ30RcfvbfMXBnZExJ6uFP9A2&#10;BAu2jpieW36LHIB2UZPS1Pu/8DzqU/YXJn9wCjaeVsgcneSxpZ3+ImO0zcBq5y26fIFwGiAH8Mvv&#10;vsta8qLbCN2FTjqsXtKq3YbhXHG3zGMKtsRoJ39kjLYhWLVq4Y9gi0RelOnZ5W/KC8SYg7AV544S&#10;umjAzINqn1S+/Imo9rD6dpH5ogR7W2j54ghpGtE2BQsWK+TFmp5f+T1U+8hBSF+nQvomZH8kVDcQ&#10;5tHquoHsRwrNsdDytBJCw9E2BAuW2JgXUA7IbEtC6DZA9kdCdTPb928xvVJwdZUk+rTJYeNpQNsQ&#10;LFis0C4YSw5Ia7dRVB/+AASyPxKqQzH9LDTHpjFH4SxUq0jvaX98bHOkR8s1W6+PtilYsFihXTSS&#10;OZg4onikDzDzS1G7mcMPsqDdOBMzj60QHpu4eWL5tU3BgiVAuyBhmpxdeYgHQJ+2RpKD0sQ+ErqM&#10;hPrZc/Pyc3FKn8oWxNvmYNqNi2I4e/BntXmmc+XfgKUj5Jhtx23GpPOHwv83VNsULFhabgrYAqbm&#10;ln8bxSAWp0OTRz63TcZKweLoF7RNwaJ271fSvXEupGyju4SOVDeSLz7GdXTOdxHXbb78xmeadUPZ&#10;Gf+/3qksv43BPDJ0nsmVb+X6dK50gN/8xcjYVPbA0+go6+hIUDkzWvoKl/1KDyp7vwL7nxuJqqCd&#10;7kQu01F6mFS2+Erp4aMsp/Olv+A6UiZbmpPtdCTOzh8+iqJf7+X+k2CdvLVrjMmePs/OpOjIY2WP&#10;irYpWLVqwb+g7XDD3D893dxEWy4rfh8d/QFdVkz7ldls5N9eTMyLPXTRzHehdJpte4LvKQqDNgWK&#10;jWzbs/V04YkfInnMxPALD/pvuWzgReURlAKGR288D8VmMO+meRBB/zpbsiX/pQk28Bi2Zg99r1/R&#10;LtrGYH3zE6+4EDafU5Xdb0HRcSZAb3TWNoYUrAFaXaeYfbLQ7FhPtAtjCtYGTt125fncvrbW/K52&#10;SX1h14tkPk2wDj3o5UXR0S9oF0wT7Ing56yOvwGnjkHA3BBJqXZH4VZ04dho1KsTf61ddBK9J9X7&#10;56Xjl7c5BoxT1fFLtA3B8jZN8B9gjg2MdvHjCqkcg05tcfej2gVOQujCMUhoF7JbQpeOfka7cLY6&#10;tVj4LaQJpVYZ/10tlgSLo9/QLlaUjt82fglC26ZWGdvVmHfiITQ51ptaZfe3Gy9OtBCWOL3ow2GJ&#10;vBithBAVzd9S1fF/RngD3I5TR69puEgRgr0JzduJkDZAq3N0GfOihAn2Blq1S+oWn51pCqE+5rmj&#10;i5gXQtOJT175Q7A3cLJS+DMU2+LEHeP7tP40IWTooTt2jaHo6BbaBTAFa9fR+jZVr475n9/u6CLm&#10;V1lrgrWnaOMwBaujG2gLLgXbuqCNxxSsjiTRFlqKPosT1nVDG5fUV+958TCsjqTQFloKtnWBXl3O&#10;0sYmhRBHEmgLLAXbujE1/4WreWOgytELtM3AqlfGT8DWU6bnlv1vHJBPC7cxeoi2GaRgSxybCy03&#10;hI3fkSDaZmDVK4UbYUsU7YKTpt69mqL26498/vIwH9U7ukytOvFVbUOwYGti8sjKm+hRv+3mu586&#10;PXf6Q1rR1BLzQmtq5fMTObqHthmkYFOxuVj8Rtl2dP5Vb2nIbwpdNCFz8JunbZBxJFR3wpPMnKbg&#10;6wgtb5QQFo22GViwhCIv0uT8yk+hugFtYLZKYmOQUN2SduM0zFythLC20PLZCOE62oZgwRJJYeZY&#10;4zvLDbQB2arVxiChmwa0XGiKpJ0YDTOPrRAeGy2XrZCiEW0zSMHWEeZAtIvbidBNA2afLDSHEtcf&#10;hk0eG48ttnlS+eJ90hsao20GVn1h1/tg6whzENrF7URT88vfoiO68zH7lIJFJY43jFS+9PE4Odrt&#10;RxKnP0L61RhtQ7Bg6RhzEOaFTULoKsDsU2rTpfueDVsTphfVsUgiR1za6S8yRtsQLFg6Rg6ApF3Y&#10;pIQumyYtz7lOw9YXRRI54tJOf5Ex2oZgwRILeXEYOQCSeTG7IdkfhmF1wWw8NjTn6fw7SaJo7MuO&#10;yBhtQ7BgsYYvCk4D5ABI2ofJa5IX2lboUp30SK70oKyXbUyrdlvMPFKbrjj4A7AlhsyPqkikX43R&#10;NgQLlpZMza28nY7XHvncj8iLw5iDsJV50cOEbhqQeVDlI+tJmVz5ATT5mO2obgszl6bMaHkV9o6Q&#10;OVEVivSGxmgbggVLJOYF0i6UNhAbydxhQhdNyDyoCpBtZntUWzuY+cKUGi3uRUhbaDlthRSNaBuC&#10;BUsk5gXSLpY2GBtx7iihiyZkHlQ1INulJ6w+CczcpobzpeAzOuOi5bMRwpvRNgQLFmvEBXsEVfSp&#10;wN82ByN8HQvdNCH7Q1UDm7bvv1B62KfVdYP0zoOvMPvqpD8tV5SGnnXNZoTqaBuCBYsV8mJNzy1/&#10;XNaZg5LeJOQPwED2h6ompCdMsHaNpPprlUO2h3ka0DYEa+3YUOTXKUQhL5w5KNmWlNBtgOwPVSrS&#10;pwm2riL7Gxktvg3VsZA5UNXA1p3Fl0lPmK8BbVOwYGmJdrFY5oA0TyfCEBqQ/aEqFOk1BUts4sTK&#10;/rZkS9tRHQuZA1VNSA9peOf+56NJR9sQLFha4v3Kep920UjmgDRPK03OL79ham7p7VobCcMIkP2h&#10;KhLpl0JzLLxfQedtc8gPdm/ljcI2h/S18nbl5wwpczBx5f0A67+0UMvN4hcNMzIeVZFIvxSaY6Hl&#10;IWXyh5/44NpLbshoHrTGJk4O6Y30n6xMfEPbFL6qhb+ErSXaBSOZA4kryoEufKaOLj9m9sGCJfbG&#10;IGRM3FgTLVcrIbQt4uSR3pYx6qaAYGnAvBCEvEBS2kDiCOmb0Pqaml3239xsE68h4+LGmoyMlh83&#10;84UJIW0TN5f0R8ZoG4IFS4B2QaIk/x01/00NE/lY6DYU7genPnHiTTqJDUObIwnNHdPOmGVMZJy2&#10;KViw+MiLrgm2BprbZ54s60yd9jj6Am1DsGBpuSn2zi5dBWuA9xvFt+jInuuPfj54oYyMlZqcX9kH&#10;i6Mf0DYFi9q1i8jyEyjItmuO3rdZ+rks67pNKle+C0WfqEd6asfBi1BsIj1atv7BfODRNoTUtUdW&#10;zzUvJgspmjAXnv99zeSKH+UyxdMxNVp8LX9JHntlDJWJLTsPvQrFoM0Umv324Xzp57g+nT98P7dz&#10;3Uiu6L9Wg+oy+fK9dJSYY2KlssXXcj3DbVzmo/fDaPA3JBlD5VS29GY6Sn86W/yFdK50Ddels6Wb&#10;pYeQ596Gv5rrwo6e5410jPSE3QzahmDB0nCnoyoU7pShc7OOc3FbJle6xW+47DVpzU9wnXch/ybw&#10;e4zkvB+k8NXcqGroU8uVyRc/jWITMnbL9v3BNypx/eYrDlyAKh+qS+dLf45TL3fpnalcqYRTH84n&#10;0fKYPi2O8TZ88M84+bwfKD9I5ZFc6Wv+0TsnUVsqd8h/+ydh3cfaTPYp2qZgwdYWr3nPZ9am5lZP&#10;4jTA3GCZ7fvPpWNqxxue7ldYI74u+6LC6fe7bNvT9I2GITR/JZf4BsP0Tx/+bhSTJTvlv1c3FP5m&#10;yZjwNyWmdtzQcg3lt0JGom0IKdgSJ+wppNU51gltQ0jBFrB67KLId6Q5NhDahpCCLUCrSxKzfxaa&#10;Hb1EuxBSsDVQr0x8HcVEqFcLX9L6JsHiWA+0CyJVW5z4DqwNUBuKbeHl/YDZF+vUnWMXw+ZYT+ji&#10;axdICtYmuL1WmbgbVaHQtyrKnKZOVMcug9XRT2gXyxSsKv+z8PKnaTFRemCh0PAl9Ser419E0dFP&#10;aBdP05pxQTvhxB1jl1JOnDr6GXMjtBLCrOkk1tEH2Pz80a7QhWPQ0S5uXCGVYyPzzU/veo528Vm1&#10;hbF3wupwdMbJysTva5ssadE/kafuvMruD0wOh2P94N9O+1W16kRirxV2OBwx0W7KQVOtUghevOdw&#10;OBJEu+E2ojBdh8MRh+PV3S/RbqhuqFaZuB/d9oT64sR/aeMwBbvD4dD4v9t3PUu7cZJSbWHsT9BV&#10;X3KiOn6HNm4SLA6HQ7tBkhDSt83D1asvOFkZv1PLHUf1amF+7aMvD96GFIemXIsT/4kmh+PMwrwZ&#10;OtVDlV15pLbmRKWwquXquSrjb8KQQjlVHb9exqDa4di4PHjblefLTd+p1hauPhuprdBy9KtqlULo&#10;V3x+4/ax57EPVQ7HxkLeDJ3Iu5G+hJQtkW9HOXXb+CWo7ir1hbG75HiTEr2nCl00UFuYeJjacepw&#10;DDbmxm9XSGfFKe8nGRT7Bm1OnQhpA44dGzqrVt3tXiDmGEzq1Ym6ttHjCuk2HPTCLW2+7QgpHY7B&#10;RNvUcYVUZwT1xcJHtDWIK6RzOAaD43975TnaRo6j2qd37UG6MxJtTeLIvW/FMRDQ/+prGziOkOqM&#10;ZGp+6eq980tlnHb84EAah6P/aPWpaC11x/i1SHVGct38ymX80casl998d1sv9nI4+hr1ARBDSHPG&#10;Yj4oWNe977M/CIvDsTHo9NcQpDljmHr/0qv94/zqd7SHhJQf4HBsFGoL4Z/UbSOkGQheM3vPj4bd&#10;1IXCsbOGZmae7BtDIO/U7JL/vUWTN//TT5l5NF0/9/nf9IMdjo2A9hCwFVLEYnJ2+QCKDUzNLt87&#10;NLTW/L1TCaHdzLaS49LaW4m/W9ThGGi0h4CtkCIWdPNMzZ/+sv6puaX98qaSgr0lI6PFt7XSZTfc&#10;spaEvvvFb3oHl7MH/kwddyth2LHQ5sSCJXG0vliw9A309aP0jY+tlMmXTg1dNNN3X8umrXFbyhff&#10;OpwtvnrTjtc/B6mTpV5p/0VG9cpE7HeUSrSbKdCRVev3imgboxc6/6q36GO30N755Q9j+FZo/Uul&#10;dx76RVgTQ+uHBcu6oY2pEw1feuN5SL0uaGPqltBle2gPAlshRVvsnf3CT4y//e+3yJtoem6lrRcp&#10;aYvSC3XywGBhCi3R+tcEeyJo+Vmw9BxtLElreGfpRnTXM7Rx9ELo3o56Zex3tAeBjZCiL9AWohdK&#10;4oFBwjQi0foPU2a0WEVYR2i5WbD0jPTOgz+jjcPUyGj5kVT2wHMRNjT0goPD6Vxxn+YNEyJ7ijaO&#10;Xim9c98LMYxotAeBrZCiL9AWgaXdoP0mTCMSbW6thNC20XKyYOkZ2hhYQ9vKI7DFQs21TmhjYcHS&#10;NplssarllUpliwXYw9EeBDZCeN+gLQBLu0H7VdNzq3dgSk1oc7PRSL4U+sE9rdDysWDpCVr/rEy+&#10;9GbYOiXyT+ndRpsbC5aO0XJLwabz0G2v+kntYWAjpOgLJufveYU2eZZ2Yw6CML0AbW6s9M5Dv6XV&#10;SyFNLLQ8LFh6gtY/a2S09O+wDTTa3FiwJIKWnwWLTr06/kXtYWAjpOgLpueWbtEmz9JuxkGUNjcW&#10;liJyM7BgtUKLZ8HSE0Zy5U9qY2ClR0t1WAcWbV4sWBJBy8+CRUd7ENioXpn4D6ToGlNzy++hm+R6&#10;qz+trj1JmzzLvPEGSZNHloOPBtDmxoLFZ2t+/49pHilYW6LFsmDpGdoYwuT9mnIUYQODNg8WLB2z&#10;+eIDF2j5WbDpaA8DG9WqhT9Aiq7xurmVB/mmQVUk2uS7KXlTJ63J+RX1RVHaOFiwNKD5TMEaihbD&#10;gqWnaOOIq0yu/D9I11doY2XB0hEjo8XvaLlZI/ny+2DV0R4GNqovjiX2Kr/puZWlybmVX5Q3DNWb&#10;563QFqCbkuPrRNfPLk1hCi3RxsGCRSPypy/Slu37Qz8vVfOzYFkXRvLFx7QxdSKkXje0MbFgiUV6&#10;56EXark0pfPFtyIsnBOLE1/RHggtVR0P/Z/8uJg3EKp9wuo1tEXopuTYOhGGb4U2DhYsoWgxpmBt&#10;QPOxYOkLtPG1q5Fc8UGk7SnaWHohdN+aUwuv2q4+ECyEFG2zZ/ZzF4fePIVjZ4W2haAtBMvM1S/C&#10;0K3R5saCpSVarFQqVyrB6qN5WLD0NxfNfFe7P40gQ8/QxtAtDW3b8zR0Gw/tYWAjhHeFqfnlb2g3&#10;2OT8cvC75zVHP3/21PzKr3CbtigsmaOfNDm/+heYjhXa3FiwWDEyWn5cyyEF6+A/MCLQ5mQK1p6g&#10;9Z+k0E1naA8DGyE8UX7pPZ+5YHJ25abp+eWvyBtrem654Qt/brjp3k2ynaQtEMv09qswvVC0ubFg&#10;iYWWRyozenhVq2chzcCjzY2VyhZfCVvX0fpnwdISLVbKs3T2sRH1hcL7tAdCK9Wqhc8iRVeYmltZ&#10;QtFHu8GktMVhaf5+E6YZiTY3FiyxSedKS1o+GyHFwKPNjZXOl34dtq6j9c+CxQot3hSs7aE9EGyE&#10;8MTQbiRbaYvC0vzdVtz5+AvQAm1uLFjaRsvZSgjtGSO58rdk/+lc8X40dYTMaQqWnqD1z4LFnm17&#10;tmp5pOCMT22x8HfaA6GV6osTf48UiaLdUK2kLQhL83dDGL7P1OzKfZonSlNzy99GuIo2NxYsHZHK&#10;F/doucOEsO6T3Xe21r8pukkQYUWc/8vpBVr/LFhio+WSGsmX2/tNQXsg2AjhiaPdUFHSFqNX4jFM&#10;z648gOH77J1f/lM5xjiamlv6W6QJ0PpmwZIIWn5NsHedzZeXn6n1303RTzPovmdo42DB0hbeT2Jv&#10;03JKwRoP7YFgI4QnBv01RLuJoqQtQq+EYVujjT9Mk+9dPgdhPXtg+OyYPEfrRwrOnpLJF/9RG0uS&#10;Qlc9RxsLC5aO0PJKDW3ffy6sdpysTHxYeyDYCClCuebdd32vdkOQpo6uBG+/pr+IaJ5W0hagV8LQ&#10;28L7qeRRbT7Ulp1Ze4pvAlrfLFgSR+uLBcu6YvM5DzZCunVFGxcLlo7RcpuC1Y7a4sSj2gPBRkih&#10;ot0UcbT36Mo/IlXwUNE+zs+MQ7WP2RZXSONwOCTaw8BWSNGAdvPFFVKp0NvbpccmdnL2nneZPhtd&#10;f/Rfno0UDoeD6eS7VZHCR7vpbITwjpicW3nYzDt5ZHkbmn3MdqnJoyvXej/F3MbnCHE4HBreQ+Pb&#10;2gPBRkjR1gMDoQFanYTa6XevTL70Nyw0BXDu6fnlOn2BEud86U23Nr1q1A/oAubviK1+X4z9+2QY&#10;V7z+Gen84dDXLLTbD8XRn2JHRov/Tm+dRrUdF02lUGoiqXlreaguap/0hB/bdzZKoXjX66r0aPm/&#10;RkZLH0vnSqeSWpM4tNXnlz+0fYv2QLDRvbdeuAlpfMwb09TU/PIMrLGgOJpcoFx5H9XLCVP52g+t&#10;nuvX4e/1sv0lh/+qft7LZvxxUP3k/Oo9VM8e6ZVln2dds3kkV/RfQxG04YUzfhnIXJlc6ff5nF5+&#10;7G3ed1I5M1p6XSpfuo7KMl7G0puphl5w8HvSubL/ruEwXyZX/CiVt17xRv+BIX0SUe+/FR7lhlzD&#10;2YM5v1KQzh+4itr89h2HXkB1YfHeejzVrwTSxzT4Q8jki3+c3ll8GZXpdRR09Nbr495c35Hacejy&#10;9GjxPqojwvpg0Rf+cJ3fCNL54v50vhx8Zwy3S1/LumzW/w/rqBjZZpLKla+mF6ZlRg9/ZCRffkCL&#10;CcujeSRaXJSP0Noj0R4ItkKKrkIT8jbQv7Im51b/heou3P17wQZhnx/gkc4dvJLON112ww/ScXJu&#10;6U5+YHg38R+l86UvyzjvZv7Y0KU3njeSLzU8HLx/BfwPJpF1hCwTUedc9vo84Vd4UF06fzD4nAL2&#10;pPKH7zZjvQfQLalc6TNcL9u3XFb8Pu9fqy9RWdYzZq7hXHnaW8P/1XJJqN4bb4Ve/CO9tMHT2dLr&#10;uW7LJTd8P5U3Xbrv2dInj6n8wV1mnUS2eQ8N/wuwvX78//T2bvDX8AOX2rdm97+UjmF55D7huky+&#10;XPEeOn/s6d8C3xXFn6QPUPb+hf9DrqMjwWU60rqTR9bRkQiLoePWbOk6Km8Z3X++9BH0wPDG9AEq&#10;D1/++udxe2q0/FlaXyqb+fiYyZVPenP74tBQ4SyzjX5qMesIr6+vejGPb9154Ce0dlm2prYw/mXt&#10;gWCl6vg/I43K1z/+qmeguO60tTjAe+A8Qg8dnDocDvWBYKmHP/XyZyKNSn1h7C4UHQ7HRkJ7INiq&#10;vjjxs0gTSm1h4mEUBxZt7lFCmMOxMfnaX7/iPG3jxxFShVKvFo7Rn3lxOhBo84xS7Y5dlyPU4Tgz&#10;0G6EODr+iZdYvZadvPSKVJz2BfXKeMGcj40Q7nCcuWg3RlwtzJz+s5QNteoTL2evVcbehequUavu&#10;2inHGkvV8ZuQxuFwSGqV3T+i3jQxVa+OB39bt+Wrf/fiYS1XL3WqUlBfGHSyOnEcRYfDoeHd9D+v&#10;3VTtqF7Zndh/hh7/xPi5tYXxX9H6CdOJ6vjXHlq4+sfX1uw+H7G2uNv/CQinDocjLuZNmITWbt7W&#10;8GrCXlO79aVPN8eEJofDkSTmjdYtnagUbvzfO69Ko1sryO/9VFHU8knVKoVHEOJwOHrJiduv+mHt&#10;puwXeQ+H4EN/HA5HH1OrFt6s3cTdUP2T489Htw7HGczQ0P8DrvT492NJLVQAAAAASUVORK5CYIJQ&#10;SwMECgAAAAAAAAAhAFkAc/sJHgAACR4AABQAAABkcnMvbWVkaWEvaW1hZ2UyLnBuZ4lQTkcNChoK&#10;AAAADUlIRFIAAAEtAAAATwgGAAABya+jnQAAAAFzUkdCAK7OHOkAAAAEZ0FNQQAAsY8L/GEFAAAA&#10;CXBIWXMAACHVAAAh1QEEnLSdAAAdnklEQVR4Xu2dDZAkSVXHG04OOD7lPJaF9c5bZndmursqs6r3&#10;AJEPUURDwQCDb1EDAQVBQgg0xCA0QjAEUVDg4ggUvyUMJEQJA0MDROVL5dATDpCFY29nuqp7Zvbr&#10;OO44uOMwX+57ta9eZdZHT3dP92z9Il5U5nv/zMqqzs6uqq7K6iw0o0H0bTJ01aas7JbwD3XvsbBM&#10;Yn13rXUlg+huTHZGq6vfg8na+BoGSD9pN2P9BnT5IbHdQq1fie69hW+RbeCiNAygPWbTEzaMyo9X&#10;VwNY7qyuPhyWQx2+i288wX3bx+Kz1AaXNoOCXOgrZP2R/j+pzWLCB0B6GIf/SmlomA0YeJkCw1h/&#10;BZMZXvE8SXT4TUxm+BpG/jOxvony3GzsmE5lDPI7uKwNFeSV0FLi8oNvK9bforR1Ir569oSJGwMF&#10;wU50uw9DV21u1t0uJjvDY2FEdVFjeH6Mvs1IvQCWpeRGfSxYF6mHhsGSGmKdBpmvBRWaqPAs4Y2Z&#10;d8NK1wefO+2tpg2Tep4fRerrmLS46vetz+nnFfAl93O8WtMw7tvq9R7J83wJuHw5XAGveBeMI53b&#10;o5U0bRjEyCC/FanbYZlG4V/BUsaZ7jZK12Ks8x8BX/qoE+eaZHDwMthjZ4/FpeWWjqodMXPkngZc&#10;vlnB18XXyX9INoPgkHUauMaXBiBPPlqmsX4jLKfGTYcPP4hWZG2GZwAnzcE3Xxf4KG2+0++Xv7yk&#10;gaNFStMS4D5uPFbr3KwKXjHH+hfplGmGuLbfi9xhlLc24x0G69iO9ddo/bA8e0yfpDwA6TRWb8s0&#10;+Bts2va3Urc9iM5kOtCwdKr1j8oY5eEsbXNlpfC1h2USBM+jfG2ocmkYtnCfKy7h8VGsX2uX3Ocp&#10;z4+m6Ejdpa2qi/votBZ8m72esk6Dq1wlUMi3Qu6n/M7q6gPQNRPk4edCMYqi33XtLBdyBy4qjY9O&#10;m+LbEdLv05Uhy2MyS8v6Tg/UpzDZSXV4DpOdRAUvcZWR5QG4MAnL07M+QIWV50z1fwxDFvJjthZc&#10;n9Vb4pP54drDL5c+WgJJ2H0cjwHUw/bdEX1T+E5pQU7tZa+grioNwzOD1kHLJO4/A5aAjNGS/vKh&#10;8Wcr1ndlmkh/zC4pz5Zg5jjvVvJNRBpH9n8lXolJ3FP6ZoU5EHwxrScZ9J9unQbywTJlFzcBX8+i&#10;nQUk4gDYOg083Ri4ysqvtBJQ6a4qroGsf6yDJ2OyEDOZS64/ePAySNfZWQDVweua6jbBXxFQIRm6&#10;Z4JrHXLdMg/IPMG/hlzDta5yjeCVS0NJC+DbKRfTzqq9nRfrzppo22inDMPeUyE/jpS98EZmRTMC&#10;6t+Jo//h64E0/O1LvlGs74A02HZ0/r9tm0YfXMwk37Db1bCEfKL18yFNeRvX3Z/heZ7mS4Bf4RhF&#10;4bVZzDqYcZ8VzAhZP8/zdliHocz3G+ZwxzoMJ3pH1mFnYTYjiaITdeot09QCxNIwlEG+Mg2HxxOd&#10;v/BG6bq+JAp/0ToQvrPq1gFA2qWpDa+AKPNxw5ATl67Mh9la5WTPknGA0i4fQWXMcFA4Fi1AYszm&#10;kLEy7TSZxzomoskOAN22UtdhdiGZ6Y5uurOM8B6YXUiWdmdR3VQ/LLcGkb15j/JpHP4x5QFIjwfn&#10;DycoLw8/Uh1k/wadj6tTPM8NfFODKr2x07kUXRazlnuA/2ysb0GX1YIfs5XwxrrSsNw41LmvdRp8&#10;eoBfDKDDiLFjUC6rYypApWSQpwNCuTLIG8eud5aEYi5NWbntWG9g0t4gAsu669wVULE0DGWAzzgn&#10;2lmArFvmAcqbHn0nz4+1+rQVCCgORnkbMPB0ywIBH0yTy+H8A95X0Ia5LNX6AyjbF/BtkxeN4Uo3&#10;+DGbAT66CYjg9cgyMsbjlB7FKrt9A7A6efE31t+g8lxLgC9ld3X7dHOHN6aumVYv9GFoGeao7m7z&#10;QZQeYNTtXE5NpO7CpAU0rpEL/L518M4FbR3r/g9h1iLLuupy+eYKNaBOQzai4Al1tYsO346tSO0c&#10;X1m5N9+mJiOXvJNdloO8r3NhMoetg3UuqhMM1jXGa1tgKMk0mLXALZHSt9DQRlhb0tstqf2YtXh9&#10;cVR4vkuOXJtB8BjMWpz1CB/g8gFWT3/zheFDC/XFOnsYDl3OdSxU56IG1raL5F7elglxdhpjwyj4&#10;cZTkyOnaztXiI9dRjKG7lFyZtnMtHb7P2uefGKqwTsVSa23JO1diTt1pW9Io/Gd05zBnavZOQquJ&#10;9R3oLkAaMHRlyCc5fTqCa5KjR78L3Ra6ZQHSaaRukfXQhBi2rOOsVRqGbIw/aMFjhMtv8hcukWj1&#10;UXSfJwvUsIJ+Hx3QA9xXppE6uv2VKGhY5+IUdCIPnGSPFAPyfhhiGJ5/Jh+zGdLnKguAr2pyCp53&#10;xQHwpb3eOmYvcDIIDsPzCbCzzpjlpl4/gqFG0L+D0uB/I5SUwsugy5Jq9W5frAm2fKTsXyI+fOvg&#10;/iQOP+HSAOAfRuFLbdrTucz+/k7uh7TPkii8FjR85JLIMqkO3y61FMNsBvh45wK4DtJb8YX7Eage&#10;n6FsOrhWUGVYtIDU8Dw3K54AuIgqy5uOmz1iCyQ6fC3kzbfwGnR1jq+sPND6tPoMurK2YdYifdS5&#10;KnU1NL7OVacs4PIB4JOdy/zs3k56WSaNw0T6NlT3UeAzzulcYDcVXcobIFcoqaOVGrCNYP0JGJ4q&#10;G4cOZbcR+Li+07kXXGTFrBe4JoXJHHLk2qoxLc1xvXIFJhsBbZ3ah1uTG7vd+2NyushOgO5SqspU&#10;xZcN389iSwljfLZ92p2A12kqvQTdLRMA+3DmD0jPgnGwGvCOgO5dw+s0lc5kiDfHE98Eg3QyUOdk&#10;+4eR+kNqQ6r7T0R3Dv4EhO+njt/NAAfw6M6RxtreFQFm2vRH6M6gSwryBICgsnBpBV0Z4KfORbqh&#10;Dl9mg4sONZgM3aVUleGxWXUuqn+sw9vQZSE/ZjPAd1O3eyWkh0GwKjXjY/qN3FdWDybNz2X4p1Ua&#10;oKyuzSjI35ojtK6yLt/CQo2t0+g6Wh43gpl2Lsxm8HW7DGWdjSDIjdpgO4PoDIZL6+FTeMrYqSj6&#10;CCwxbJF5gPSY9QIa+bMIszvUKbswuG47qTIsWoBrjGiunWsrVndKv8nYR/PH/asPQB5uLHSV5T5I&#10;S81IB++s1Hh8mMxRpzykl75zSZIosN/AzPT5KRqXCXNs8ppN1XsSZp2YY6q/MGeDr8Csk2HYe9qG&#10;Uo/AbIE0CH4hjVaPYbYx58yxWKKDF2O2pcUNfRkx29LiZhj1ntOko7Qdq6UWTTvWviRlr3lwGcr2&#10;BSMd2im3fdvm8tOJCmYtQ6VeTlqwzTB8NIayOrhhKFd/Lo23yUCaQxowefvMiX5/LSvPdMYx179+&#10;Coxi9ee8QVWGxZYW2o40Cn8E8q4O49pWqRvHehPy4yh8NeS34/BLtlx0/p0qcDcJ1QNpMPAD5Odm&#10;/Y6OxeOp7l3D8wB1LGswtY5Sz5aauWNOSf8ha1QDw+JLCTyWZXb++zBrkdvl2k7ZsVwa88HeBYZZ&#10;uFMgN/EA4SoLyI4FbQXDrOXclVfmrspTx0oj9Tp0WcBX95amqQMr54buAlJ30mwchpYa80E6Xx8l&#10;84DsWHyywESrEbpz7LZjcTYi9StUjmv4TyFH6ubGWCn7/B3Ziauuug+GnHAtGLqXDpgDlG9HqtTP&#10;y22SecD1k5ko9RTSkqXdC29mmkbHIq21WA9N8BKuWbiOlQy0nduUDN1eqKF71uAp4Wq73CbXNrp8&#10;EqnZbcdy6UZh+APct3Adqyn22AQbuxQNdmAabecpwqzFnLxcL7fJtY2TaJIgiKUGcJUFanUs4Vu6&#10;jpWo8G+ocS5D2dLh2hYylFhkjL5YGLZIjYwDrphXK9YBfyuRlpfhmoXuWKNwrU8NqWtYtKXFjavT&#10;uIz+3SfD4i0tRXhHIRtHF6bX4+yHY6yWOcA7SZ2O0lTfshxM/fPkneTsIPpLdHvhejB0tywRrs9t&#10;6p8nVQj2kU7nO9Dt5IYDB+7H9WAYalki5vK5NekoUlulX3SSgwcvq7MtdTTm2DN7gsekc08cA9av&#10;1Avgy0u6cay/huEcqQpeRRqYEATdGeA/E8eblOZ/bA/X1nJvPOSvATkdx/axfG5fvWZgy6Y6/+QS&#10;pF0P8II/iYJ/wayF6uLlc85C0JB0u1fm4nN8Kc0s4dswisJ3UdpsUHabyU6kdsifxufnSgAzHSI3&#10;Qw35zxxTXzob6w3KY9hiy2msL1IfLJsjHWwrDj+fsqk9MWyBPHSsTItxuJUG83cMw7Wj9PdTGqu/&#10;hvjpgX4HlSEr61g8D5gTutwDH7BeyMMyGZy/jgYGndsKyFHHpN5WsIRA2xOt/gOzFrlNrm2sc3cD&#10;IP1lOpgbFtJJsFbrCr3MEy6/z4fJDNmxtsRcF4CsC9JpHH0csxapyRw+G+vwHSjNadG1VJifqtw0&#10;2i6219YO+jTg315fz73f3wYY0m/zcfhfmM3gOlmGqNuZOSO13uOXhtBtcZWVHQuAfKID50uhhiqw&#10;NzdiNofTvxNFH4OhDYbqUwP9YXQ3wtSaHUdI21Qq9+ZlF7IMui1lsbrQzxBmnSQ6fJFPA37z0/gl&#10;Srt00g/pGw507ofZDK6jtM9sAQOkobNhNmOk1e9xPb+lByUWmQd8HYt8ppPaCe1swDD3O41dK3HZ&#10;ZrByCIsUkFrwmR2ZzdQnY00ZqfP3NGE2YxTr14Jh1rbDiAq39qLfHhT72iH9kPa9AId0cmTyYety&#10;6MC/FatPYNbC6ydc63B1LHjJEPlgydf57UHnXq56pk6qw1+HFTWyWH8Ri+eQunEc3ix9ZFikMa7y&#10;0ldHkw7UJyHPp3/cUsq+uTLR+tfQVasuAPJmNEwwa5E6SPs61hdWL38AZi2yLAB5c6D/WcxaXB0L&#10;AJ/5QnzFF5N+l29XUIXcMJRhOlI296dPA0hNmWGRiahT36QaMAxbIE/HdtzMz3LukkOq9VulBgzD&#10;Fsj7OpY0mMURliix8LjvrJDgWnTl4PEy3UQUKg/DPoacSD26M2ScDMNT56xSD8akF9+Eaxy4+9Z3&#10;kRnaDx0Ls50zg/Pv5i2D3t/blDptnTbJID9h71Ro2gGq9DLu0iwbsA28Y7VUMEkHSCOVXVl2leEx&#10;V3wZge1oO1YDZtEJZlHnxYo58fncUu7DWXSCWdR5sdJ2LMYs6rxYaTsWYxZ1uqA5SQFYTxKGj8Os&#10;hdYPV53RVYA0ci4FThMNGLoyoByVdU38ZrYjm6+dprYkeMdKo/AG0tngIkMNnWaDZ1GnC6zbPgoG&#10;Rh0r1frTmS9S2VNKRpxdhbeP0RvfeBB9K9EX7hrAsIV88BdSGgW/7dHYfxTgb7RhrN5Hmi9cfuFC&#10;J/m4YejCOjwvAzAd6/Pc77urYuEYsZcigZnWVk6pbb5huf+Z0J3BY674tPDVD76dQbSFWYvUuspC&#10;nl+4tJoDB3L/D8pyMg/4NGkQDNBlkToA3nfDfTRipWH4U+iygO/UysoDMbuY0AaSodtLlb4qPi2g&#10;7nNxlHtoJOkfdT6fZxy5R9qpbcNY34quHNDBXPWM4vBTLj+R4BVwrpF5AnxVT6/7jrFs2Vh9CLOL&#10;CW04NwwVoJvDyrRV8WkBdcOUQJi1mBHY+RIqMpRZyuKuGDeUdTajfjZnBBi8e1pqZJ4AXxrp92PW&#10;yVJ3LIA2PmfsFhn4k9alwXCOOpppAHXLjnU93q6M2Ubw9ppjquN16gFNosM/wayF1wPIPOHzJ4OD&#10;l5mFPR5c+o4F0IbWNSxWoK5ut0DdsmMBrvVKX12N/LPYpcFkhktTRweMB+ffjIHZ/dGxANrYKkO5&#10;kyba3QB1uzoWINsAhiHLMFJfrdJsiFfEuDSuOBlKMg1mc3A9WarDHQzvn45F3NjtXCofxx+G4VEM&#10;LwUn1FUPNmewhXfdcNKot56aD6jsbgW4e2Iz7P0EZguYT/2SJNK5n8OmjLR+1igMr8ZsS0vLssAH&#10;STB0t7S0tEwGTakPBldu0N1ysXNjt3upORR/bqLDO+kaMxikE62+nEZ9eOXQ3k5d33JR0g5aLfA/&#10;R+66wW5si92r0rK3bBw69BDXZ+SyJFJ/hsVyJIN+bj53dDvhP27DY6F9lFwCs6Dw+rzmeW9xHUN5&#10;hozxPPcTue9DpHOvuyVOht3H8fJlloS9F2GxHDSxLBjcu5Xg63nL7CtBsIrFLz7G+FLuWdowPD8H&#10;Qsv82Yn0R/lnge4C40h9nTRm0CncTZHE/WfUqQeoGrR4Pd5H6VTwy1yH7hw0tz5YnSMtXh/Zzewl&#10;EJKqQetMHJ3mdaG7ANe43mzCBy0yU1lhv6Tr61dxDX+A+qKB7wCfQQcsm4YB3ijrKucyLNKyoJR9&#10;VtM80uL1mMHyFnQ3ZjeDlum32ewIPuocadWFrxtdGXLQQreTRIdfrqvdd/ANdxnKGuOqiww6M8pa&#10;5kyqw5e5PhOfYbGMaZ8e8rp8BreNotzJbgYtdJVSd9BKtM5NMFVlWCyjyaC1Ges31NXuK0xn2OYb&#10;Lg1lE+OqkwwlLXOCDyBgQ917LIYKcB26MpoMWlznG7RcbBw58ogkClNengwlOfZ60OL1gd169dUH&#10;MFSA69CV0Q5aC0DuwxY2VP0XoqxlxsD0S3zfo9uJfIEoujPG/f6BsjixqcOf5jo5aG3q/ut5HN1O&#10;+IC7EXVX0J2RxOq6unUBTbRA2aCVBhdmvq6qj+tc2nbQ2iM2tT4yjNQHzY50TiuamdavxCItc0Du&#10;/w3zZcMQXB/5VRknQ0kOqbGDStR/xbZSz94eRNkTdik+UA5WdU0LbHugzh1fWbkCw/Dm6ZdIDYYK&#10;SN1WpG6HCRVdp5Zch65Smh5pbeqewlBhTmJuKMloB60pAb/SpwbRtTvmsJvvpF1bO2jtCc7Pwpg5&#10;Msoej+V+dDkxg9KdXEtGL1RJ2Ze97PRwqIMn8/LS0ih4HUpLSbT6sKs8hjPKYi7qXNMyFd2T18st&#10;Ver3UVa67nbQmoBRpN7Md8RMrR20WlpaJsU5qNQ0uAZiTi9GSdjNTXAG8F/agrWDVktLS1Pgrlvn&#10;gMJsqMO3oLwx8h+rnLWDVktLSxNSz/wqZCjbFa56M2sHrZaWhUJ+R9G9OMgGctvqXnF/lE1M5VFc&#10;O2i1tMwc/p1Dl5dEqZ/khu7FgW+MtM04eAzKJsJVZ8HaQaulZebw7xy6lhc5/7+0JNJfRWktqt5b&#10;XbB20NoTSv8cYXaie9XDsIiTNFb/6yonLdXhOSziBfqaq6y0VKt/xyIFRuxB71SpF4xq1LkZ9UMs&#10;7sVVrmBmn6K8QKL180l3Jo43wZcra8x1L1ndz8ms+w4sknE6jt/u1AqjF/MS9IJesO1j8Vl0W/gM&#10;/DA9Fbq9kBYMXTm2TL/gGp8Ne73vxiLnMU478fOsDNfhjLWD1nzZjvRn+f4fhuFTMZSDa8DQnbHV&#10;7d6fx8eeqYdGOjyZ0wXFo3eY9YNroAyGcpgvzB1cd3ylY+8D4/BBi+z6TudeGM4hdejOUUcDcI0Z&#10;oN+O7gw+aOUsDB+NkgJcBzM6oDvHUPWfzXXoLlBHQ5QNWgCva6PTuS+6C3DdMOp/L7ot42A9d0/e&#10;9vr6EQzlMH1hh+vQfQEenIZhtRZX3Fo7aM2Nm9bWjvJ9j24vXGuOWN6LbguPnVxdfTi6vXA9ujJ4&#10;zARLJ5Acrq1dzvXozpCDFrq9cK0pmzty4EcV5ohniG4vvC50ZchBC91ToU69dTRE1aAFVNVnBpvb&#10;KH4qjgpna1XlOWbf/U6l/ninc2/+gdU23X89VlHAqQfbxaB1I/zaq973J0pdN4qCf4J3BSZx8JLC&#10;oeSCAC8zgHcTmQ/09eZL8CZzlPMcDM2FHb7fS17oWUWqg2fyzxDdpXB9GoYfR3cnjcK/4zF0l8L1&#10;iQ6eh24LH7SSw/kXirqQ74dCt4X7G1ukfhOrsfBBC24BQnctxg0uuWCRAnU0RJ1BK42CV/nqNJnc&#10;UwHoztjUKnuX6CSG1Sw28mHUSW0n1l/EKifCVScZSjLM4fALXTppKJ8LY3Z9BGYKRXdj0m6323Qb&#10;uH48CF+Kbnh051k8hu5SuH4crAbotvBBy3z53o1uL8MofC6vD90Wn38Smg5ax1d6j+Trh+tl5lDX&#10;+Y5arkNXgToaos6gBfD7L7didR26K9dlfrTfSvGmA/hCk6je9/GNn7aZD+bTuKrauOohQ0n5jbQO&#10;w2Jzg68bnvVDtxOuvX6Qvy7EY64LyJwzA/UJrkd3Bo+divRn0O1ka5C/MI3uDD5oueISrk1U+Pfo&#10;tpijiT/gcXR7KdM2HbTK6uKY4KV1tHU0RN1BC5D18v4/DoLDVuSAlzMFSy8J8BlHTPob6F4cChdl&#10;KwxmEEgi9eZU62cmYfhKeaG5yszg+BRcdSWu8mRVcZ/ZiueMbMOWvjBQnAzWHy8H3qEOX4PhHFwD&#10;tq3D28wGZUcD5rMYSw2GCkjdqTgaY8iebsBMDVKD4Rxy0CIzR74/ixIzgATPk3HTj96D4RzDYP0H&#10;hfbuu/FBcGAUhU8TcWe7mg5auVN5Yyd7K4/EkAUe2OZxMgwXMPvldq6z06rH+i0j8+N96zWD3FF3&#10;otUtpKsatABeL9lWrCtnoJVl4HuMIYupIzd9tdmGyn8r506ugR5Lo/DVKK8FdHhXPdzOHqvuRICr&#10;bKXN+bpVE6DDOtuM5puvXTJS6uWu8mTDWL0NpZWYwSN3dCPNnM5lp5YucqeHsT4DviQK/pPXwS0N&#10;1rOpeaoou/0A5tRHmZNJr2nxdUjbWV19AGhOs5lXbCEP8k8Msia3PLhIlfo5Xh8YhmqRROF7Zfmc&#10;mR8GlC4WzsYyg4uRKJ0IM9i9x1VvZlF4LUq9OMs5DOUte4Br0GppmTpnB/qT/Esvzfz6vgqlu8Ic&#10;bjpPHchQ5sVVhtst18RfQ2nLHtEOWi1zgX/xXYayPcfVNm4oa9lD4M5wOP0CM4NW5alNS0tjbl5b&#10;O+gaAMhQthC42kd20+HDD0JZS8tcGcfh56gfjiNdem2tZQqkUfhb/MsvDWULgat9ZKahpX/btrTM&#10;inbQmjOJCn6Jf/mloWwhcLWPrB20WvaKdtCaMxuHDt2Xf/kLtkC3DDjbh7ZsgxZvO+Q39foR7gNL&#10;wrAwdXYS13sRKcq9jNgbesoM5V7gPj1XOWko91K3PcOw53zAHOA6yCdafZP7yC/Z7b6Qg9ZNYf4Z&#10;U5dh0ZZJce1UbijbNclgcNnJIDjsM5R5cbWNzDRyaQctbvBcIUqAbJvMj8f9cjrPzZhj8co4dOeo&#10;igNckzrefJOqMOEaaB+GcnDNdqRuR3cOrtnoFt+nCGxFKnsAGAzdOXicbNvY0AwiKMlxyyDKTZuT&#10;Rv3CPYjyXZVprL+FoQwzaH2ea6yp9R6GM+p8Ni01MR3lIXxnSoMPHqW7wlU3N5R5cZUhM4WXetBC&#10;t5dG2jh4J2nllDXwMHuTulwMxSv90e0lYY+BjJV6OrobU7VOHq+6gVRey0W3F65N2TshAX6kBYZu&#10;J1yX6OCd6G6ZhKHr10IYSifCVR83lJXiKkdmKljaQSvV/Sei20nZHeV1DKvJGCr1by4dN/gioryA&#10;S1/XTpU8/ZDq8I0w2LjKScMiOariHL6eNA5vQPdENLmmdZbdPZ/E6kPobpkUeP0Y7dAyu7HTuRSL&#10;VOIqL21DHXkEyktxlSVb7kGrdw26nSQ6fAvXo3tqfKTTuc9Iqy/wdXAzp4e52Tl4DF6Fj+6JSAb5&#10;F6PCozpJEDwewzm4Dl05quKc3Fxd0eTTBAHtoLUA0E6dh+Eqa+EqT7afBy2A69HlxZzO3w2nZGAw&#10;2yi6LeQHG8e6dOqYsnWWxSRce7LfP4ZuC4+hy8lI9Z5Upa2Kc2684orczK/o9lKmbQetBcJ8AP9N&#10;O3iaVjWVig9XXWSmwn09aAG8jLXDhx+KIYs5zXmT1GAoA46Sedx1YRngGt/c61yD15Byn8FOrG/l&#10;mp1Y/SOGMngcDN0ZqVYfkBqXDqiKS2AaaF4GTB7lydPVYVT8N90MWtmllXbQWjBGUfEv5LpmTnFe&#10;hNVMjKteMtNL9/2gRYzZVLouG5ZcjyKSsPfDrrLczGfmnHdewudbctlmyTzswIZSj3KVI6OBhPts&#10;QUFVvIyqa2k3Hz16NUoLXFxHWp3O/wPNA351txSDewAAAABJRU5ErkJgglBLAQItABQABgAIAAAA&#10;IQCxgme2CgEAABMCAAATAAAAAAAAAAAAAAAAAAAAAABbQ29udGVudF9UeXBlc10ueG1sUEsBAi0A&#10;FAAGAAgAAAAhADj9If/WAAAAlAEAAAsAAAAAAAAAAAAAAAAAOwEAAF9yZWxzLy5yZWxzUEsBAi0A&#10;FAAGAAgAAAAhAMqZTHcJAwAAhwkAAA4AAAAAAAAAAAAAAAAAOgIAAGRycy9lMm9Eb2MueG1sUEsB&#10;Ai0AFAAGAAgAAAAhAC5s8ADFAAAApQEAABkAAAAAAAAAAAAAAAAAbwUAAGRycy9fcmVscy9lMm9E&#10;b2MueG1sLnJlbHNQSwECLQAUAAYACAAAACEApPugCd0AAAAEAQAADwAAAAAAAAAAAAAAAABrBgAA&#10;ZHJzL2Rvd25yZXYueG1sUEsBAi0ACgAAAAAAAAAhABOQeu3eIAAA3iAAABQAAAAAAAAAAAAAAAAA&#10;dQcAAGRycy9tZWRpYS9pbWFnZTEucG5nUEsBAi0ACgAAAAAAAAAhAFkAc/sJHgAACR4AABQAAAAA&#10;AAAAAAAAAAAAhSgAAGRycy9tZWRpYS9pbWFnZTIucG5nUEsFBgAAAAAHAAcAvgEAAMBGAAAAAA==&#10;">
                <o:lock v:ext="edit" aspectratio="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Grafik 2" o:spid="_x0000_s1027" type="#_x0000_t75" style="position:absolute;width:12166;height:5397;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sUMjwQAAANoAAAAPAAAAZHJzL2Rvd25yZXYueG1sRI9BawIx&#10;FITvQv9DeIXeNFvB0q5GEWmlFw9VoddH8twENy9LEt313zcFweMwM98wi9XgW3GlmFxgBa+TCgSx&#10;DsZxo+B4+Bq/g0gZ2WAbmBTcKMFq+TRaYG1Czz903edGFAinGhXYnLtayqQteUyT0BEX7xSix1xk&#10;bKSJ2Be4b+W0qt6kR8dlwWJHG0v6vL94BbNfvTG3Wb/7dNuPuHWajN1dlHp5HtZzEJmG/Ajf299G&#10;wRT+r5QbIJd/AAAA//8DAFBLAQItABQABgAIAAAAIQDb4fbL7gAAAIUBAAATAAAAAAAAAAAAAAAA&#10;AAAAAABbQ29udGVudF9UeXBlc10ueG1sUEsBAi0AFAAGAAgAAAAhAFr0LFu/AAAAFQEAAAsAAAAA&#10;AAAAAAAAAAAAHwEAAF9yZWxzLy5yZWxzUEsBAi0AFAAGAAgAAAAhAFaxQyPBAAAA2gAAAA8AAAAA&#10;AAAAAAAAAAAABwIAAGRycy9kb3ducmV2LnhtbFBLBQYAAAAAAwADALcAAAD1AgAAAAA=&#10;">
                  <v:imagedata r:id="rId18" o:title=""/>
                  <v:path arrowok="t"/>
                </v:shape>
                <v:shape id="Grafik 4" o:spid="_x0000_s1028" type="#_x0000_t75" style="position:absolute;left:15820;top:508;width:13678;height:359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XPjfxAAAANoAAAAPAAAAZHJzL2Rvd25yZXYueG1sRI9Pa8JA&#10;FMTvhX6H5RV6KbppLVViVimCmp6k6sXbI/vyB7NvY3ZN4rd3hUKPw8z8hkmWg6lFR62rLCt4H0cg&#10;iDOrKy4UHA/r0QyE88gaa8uk4EYOlovnpwRjbXv+pW7vCxEg7GJUUHrfxFK6rCSDbmwb4uDltjXo&#10;g2wLqVvsA9zU8iOKvqTBisNCiQ2tSsrO+6tRsJlu3XC+VMe8272drpMmXfc/qVKvL8P3HISnwf+H&#10;/9qpVvAJjyvhBsjFHQAA//8DAFBLAQItABQABgAIAAAAIQDb4fbL7gAAAIUBAAATAAAAAAAAAAAA&#10;AAAAAAAAAABbQ29udGVudF9UeXBlc10ueG1sUEsBAi0AFAAGAAgAAAAhAFr0LFu/AAAAFQEAAAsA&#10;AAAAAAAAAAAAAAAAHwEAAF9yZWxzLy5yZWxzUEsBAi0AFAAGAAgAAAAhAAtc+N/EAAAA2gAAAA8A&#10;AAAAAAAAAAAAAAAABwIAAGRycy9kb3ducmV2LnhtbFBLBQYAAAAAAwADALcAAAD4AgAAAAA=&#10;">
                  <v:imagedata r:id="rId19" o:title=""/>
                  <v:path arrowok="t"/>
                </v:shape>
                <w10:anchorlock/>
              </v:group>
            </w:pict>
          </mc:Fallback>
        </mc:AlternateContent>
      </w:r>
    </w:p>
    <w:p w:rsidR="00A85982" w:rsidRPr="001D5E02" w:rsidRDefault="00583573" w:rsidP="001D5E02">
      <w:pPr>
        <w:pStyle w:val="berschrift1"/>
        <w:numPr>
          <w:ilvl w:val="0"/>
          <w:numId w:val="0"/>
        </w:numPr>
      </w:pPr>
      <w:bookmarkStart w:id="0" w:name="_Toc122012088"/>
      <w:bookmarkStart w:id="1" w:name="_Toc162964608"/>
      <w:bookmarkStart w:id="2" w:name="ZfsJ"/>
      <w:r w:rsidRPr="001D5E02">
        <w:lastRenderedPageBreak/>
        <w:t>Zusammenfassung</w:t>
      </w:r>
      <w:bookmarkEnd w:id="0"/>
      <w:bookmarkEnd w:id="1"/>
    </w:p>
    <w:p w:rsidR="00D441F9" w:rsidRPr="001D5E02" w:rsidRDefault="003F1E12" w:rsidP="001D5E02">
      <w:pPr>
        <w:pStyle w:val="berschrift2"/>
        <w:numPr>
          <w:ilvl w:val="0"/>
          <w:numId w:val="0"/>
        </w:numPr>
      </w:pPr>
      <w:bookmarkStart w:id="3" w:name="_Toc83113296"/>
      <w:bookmarkStart w:id="4" w:name="_Toc122012089"/>
      <w:bookmarkStart w:id="5" w:name="_Toc162964609"/>
      <w:bookmarkStart w:id="6" w:name="ZfsJ_Ö"/>
      <w:r w:rsidRPr="001D5E02">
        <w:t xml:space="preserve">Struktur des Gewerbe und Handwerks </w:t>
      </w:r>
      <w:bookmarkEnd w:id="3"/>
      <w:r w:rsidR="00943E0A">
        <w:t>2023</w:t>
      </w:r>
      <w:bookmarkEnd w:id="4"/>
      <w:bookmarkEnd w:id="5"/>
    </w:p>
    <w:tbl>
      <w:tblPr>
        <w:tblStyle w:val="Tabellenraster"/>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1595"/>
        <w:gridCol w:w="1802"/>
        <w:gridCol w:w="1276"/>
        <w:gridCol w:w="1559"/>
        <w:gridCol w:w="1560"/>
        <w:gridCol w:w="1779"/>
      </w:tblGrid>
      <w:tr w:rsidR="00B02D37" w:rsidTr="00160B5D">
        <w:tc>
          <w:tcPr>
            <w:tcW w:w="3397" w:type="dxa"/>
            <w:gridSpan w:val="2"/>
            <w:vAlign w:val="center"/>
          </w:tcPr>
          <w:p w:rsidR="003F1E12" w:rsidRDefault="00853EE9" w:rsidP="00B02D37">
            <w:pPr>
              <w:jc w:val="center"/>
            </w:pPr>
            <w:r>
              <w:rPr>
                <w:noProof/>
                <w:lang w:eastAsia="de-AT"/>
              </w:rPr>
              <w:drawing>
                <wp:inline distT="0" distB="0" distL="0" distR="0">
                  <wp:extent cx="432000" cy="432000"/>
                  <wp:effectExtent l="0" t="0" r="6350" b="6350"/>
                  <wp:docPr id="11" name="Grafik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Gebäude_Haus_dg.png"/>
                          <pic:cNvPicPr/>
                        </pic:nvPicPr>
                        <pic:blipFill>
                          <a:blip r:embed="rId20" cstate="print">
                            <a:extLst>
                              <a:ext uri="{28A0092B-C50C-407E-A947-70E740481C1C}">
                                <a14:useLocalDpi xmlns:a14="http://schemas.microsoft.com/office/drawing/2010/main" val="0"/>
                              </a:ext>
                            </a:extLst>
                          </a:blip>
                          <a:stretch>
                            <a:fillRect/>
                          </a:stretch>
                        </pic:blipFill>
                        <pic:spPr>
                          <a:xfrm>
                            <a:off x="0" y="0"/>
                            <a:ext cx="432000" cy="432000"/>
                          </a:xfrm>
                          <a:prstGeom prst="rect">
                            <a:avLst/>
                          </a:prstGeom>
                        </pic:spPr>
                      </pic:pic>
                    </a:graphicData>
                  </a:graphic>
                </wp:inline>
              </w:drawing>
            </w:r>
          </w:p>
        </w:tc>
        <w:tc>
          <w:tcPr>
            <w:tcW w:w="2835" w:type="dxa"/>
            <w:gridSpan w:val="2"/>
            <w:vAlign w:val="center"/>
          </w:tcPr>
          <w:p w:rsidR="003F1E12" w:rsidRDefault="00853EE9" w:rsidP="00B02D37">
            <w:pPr>
              <w:jc w:val="center"/>
            </w:pPr>
            <w:r>
              <w:rPr>
                <w:noProof/>
                <w:lang w:eastAsia="de-AT"/>
              </w:rPr>
              <w:drawing>
                <wp:inline distT="0" distB="0" distL="0" distR="0">
                  <wp:extent cx="389469" cy="432000"/>
                  <wp:effectExtent l="0" t="0" r="0" b="6350"/>
                  <wp:docPr id="12" name="Grafik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Beschäftigte-mittelblau_kle.png"/>
                          <pic:cNvPicPr/>
                        </pic:nvPicPr>
                        <pic:blipFill>
                          <a:blip r:embed="rId21" cstate="print">
                            <a:extLst>
                              <a:ext uri="{28A0092B-C50C-407E-A947-70E740481C1C}">
                                <a14:useLocalDpi xmlns:a14="http://schemas.microsoft.com/office/drawing/2010/main" val="0"/>
                              </a:ext>
                            </a:extLst>
                          </a:blip>
                          <a:stretch>
                            <a:fillRect/>
                          </a:stretch>
                        </pic:blipFill>
                        <pic:spPr>
                          <a:xfrm>
                            <a:off x="0" y="0"/>
                            <a:ext cx="389469" cy="432000"/>
                          </a:xfrm>
                          <a:prstGeom prst="rect">
                            <a:avLst/>
                          </a:prstGeom>
                        </pic:spPr>
                      </pic:pic>
                    </a:graphicData>
                  </a:graphic>
                </wp:inline>
              </w:drawing>
            </w:r>
          </w:p>
        </w:tc>
        <w:tc>
          <w:tcPr>
            <w:tcW w:w="3339" w:type="dxa"/>
            <w:gridSpan w:val="2"/>
            <w:vAlign w:val="center"/>
          </w:tcPr>
          <w:p w:rsidR="00853EE9" w:rsidRDefault="00853EE9" w:rsidP="00853EE9">
            <w:pPr>
              <w:jc w:val="center"/>
            </w:pPr>
            <w:r>
              <w:rPr>
                <w:noProof/>
                <w:lang w:eastAsia="de-AT"/>
              </w:rPr>
              <w:drawing>
                <wp:inline distT="0" distB="0" distL="0" distR="0">
                  <wp:extent cx="645216" cy="504000"/>
                  <wp:effectExtent l="0" t="0" r="0" b="0"/>
                  <wp:docPr id="13" name="Grafik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Geld_Münze_3_dg.png"/>
                          <pic:cNvPicPr/>
                        </pic:nvPicPr>
                        <pic:blipFill rotWithShape="1">
                          <a:blip r:embed="rId22" cstate="print">
                            <a:extLst>
                              <a:ext uri="{28A0092B-C50C-407E-A947-70E740481C1C}">
                                <a14:useLocalDpi xmlns:a14="http://schemas.microsoft.com/office/drawing/2010/main" val="0"/>
                              </a:ext>
                            </a:extLst>
                          </a:blip>
                          <a:srcRect t="10927" b="10958"/>
                          <a:stretch/>
                        </pic:blipFill>
                        <pic:spPr bwMode="auto">
                          <a:xfrm>
                            <a:off x="0" y="0"/>
                            <a:ext cx="645216" cy="504000"/>
                          </a:xfrm>
                          <a:prstGeom prst="rect">
                            <a:avLst/>
                          </a:prstGeom>
                          <a:ln>
                            <a:noFill/>
                          </a:ln>
                          <a:extLst>
                            <a:ext uri="{53640926-AAD7-44D8-BBD7-CCE9431645EC}">
                              <a14:shadowObscured xmlns:a14="http://schemas.microsoft.com/office/drawing/2010/main"/>
                            </a:ext>
                          </a:extLst>
                        </pic:spPr>
                      </pic:pic>
                    </a:graphicData>
                  </a:graphic>
                </wp:inline>
              </w:drawing>
            </w:r>
          </w:p>
        </w:tc>
      </w:tr>
      <w:tr w:rsidR="00B02D37" w:rsidTr="00160B5D">
        <w:trPr>
          <w:trHeight w:val="311"/>
        </w:trPr>
        <w:tc>
          <w:tcPr>
            <w:tcW w:w="1595" w:type="dxa"/>
            <w:vAlign w:val="center"/>
          </w:tcPr>
          <w:p w:rsidR="003F1E12" w:rsidRPr="00853EE9" w:rsidRDefault="00943E0A" w:rsidP="00B02D37">
            <w:pPr>
              <w:jc w:val="right"/>
              <w:rPr>
                <w:color w:val="EC6608" w:themeColor="accent3"/>
                <w:sz w:val="26"/>
                <w:szCs w:val="26"/>
              </w:rPr>
            </w:pPr>
            <w:r w:rsidRPr="00943E0A">
              <w:rPr>
                <w:b/>
                <w:color w:val="EC6608" w:themeColor="accent3"/>
                <w:sz w:val="26"/>
                <w:szCs w:val="26"/>
              </w:rPr>
              <w:t>240.902</w:t>
            </w:r>
          </w:p>
        </w:tc>
        <w:tc>
          <w:tcPr>
            <w:tcW w:w="1802" w:type="dxa"/>
            <w:vAlign w:val="center"/>
          </w:tcPr>
          <w:p w:rsidR="003F1E12" w:rsidRDefault="003F1E12" w:rsidP="00B02D37">
            <w:pPr>
              <w:jc w:val="left"/>
            </w:pPr>
            <w:r w:rsidRPr="00D45C3B">
              <w:t>Unternehmen</w:t>
            </w:r>
          </w:p>
        </w:tc>
        <w:tc>
          <w:tcPr>
            <w:tcW w:w="1276" w:type="dxa"/>
            <w:vAlign w:val="center"/>
          </w:tcPr>
          <w:p w:rsidR="003F1E12" w:rsidRPr="00853EE9" w:rsidRDefault="00943E0A" w:rsidP="00B02D37">
            <w:pPr>
              <w:jc w:val="right"/>
              <w:rPr>
                <w:color w:val="EC6608" w:themeColor="accent3"/>
                <w:sz w:val="26"/>
                <w:szCs w:val="26"/>
              </w:rPr>
            </w:pPr>
            <w:r w:rsidRPr="00943E0A">
              <w:rPr>
                <w:b/>
                <w:color w:val="EC6608" w:themeColor="accent3"/>
                <w:sz w:val="26"/>
                <w:szCs w:val="26"/>
              </w:rPr>
              <w:t>769.803</w:t>
            </w:r>
          </w:p>
        </w:tc>
        <w:tc>
          <w:tcPr>
            <w:tcW w:w="1559" w:type="dxa"/>
            <w:vAlign w:val="center"/>
          </w:tcPr>
          <w:p w:rsidR="003F1E12" w:rsidRDefault="003F1E12" w:rsidP="00B02D37">
            <w:pPr>
              <w:jc w:val="left"/>
            </w:pPr>
            <w:r w:rsidRPr="00813069">
              <w:t>Beschäftigte</w:t>
            </w:r>
          </w:p>
        </w:tc>
        <w:tc>
          <w:tcPr>
            <w:tcW w:w="1560" w:type="dxa"/>
            <w:vAlign w:val="center"/>
          </w:tcPr>
          <w:p w:rsidR="003F1E12" w:rsidRPr="00853EE9" w:rsidRDefault="00943E0A" w:rsidP="00B02D37">
            <w:pPr>
              <w:jc w:val="right"/>
              <w:rPr>
                <w:color w:val="EC6608" w:themeColor="accent3"/>
                <w:sz w:val="26"/>
                <w:szCs w:val="26"/>
              </w:rPr>
            </w:pPr>
            <w:r>
              <w:rPr>
                <w:b/>
                <w:color w:val="EC6608" w:themeColor="accent3"/>
                <w:sz w:val="26"/>
                <w:szCs w:val="26"/>
              </w:rPr>
              <w:t>€ </w:t>
            </w:r>
            <w:r w:rsidRPr="00943E0A">
              <w:rPr>
                <w:b/>
                <w:color w:val="EC6608" w:themeColor="accent3"/>
                <w:sz w:val="26"/>
                <w:szCs w:val="26"/>
              </w:rPr>
              <w:t>129,7</w:t>
            </w:r>
            <w:r>
              <w:rPr>
                <w:b/>
                <w:color w:val="EC6608" w:themeColor="accent3"/>
                <w:sz w:val="26"/>
                <w:szCs w:val="26"/>
              </w:rPr>
              <w:t> Mrd</w:t>
            </w:r>
          </w:p>
        </w:tc>
        <w:tc>
          <w:tcPr>
            <w:tcW w:w="1779" w:type="dxa"/>
            <w:vAlign w:val="center"/>
          </w:tcPr>
          <w:p w:rsidR="003F1E12" w:rsidRDefault="003F1E12" w:rsidP="00B02D37">
            <w:pPr>
              <w:jc w:val="left"/>
            </w:pPr>
            <w:r w:rsidRPr="00813069">
              <w:t>Umsatz (netto)</w:t>
            </w:r>
          </w:p>
        </w:tc>
      </w:tr>
      <w:tr w:rsidR="00B02D37" w:rsidTr="00160B5D">
        <w:trPr>
          <w:trHeight w:val="311"/>
        </w:trPr>
        <w:tc>
          <w:tcPr>
            <w:tcW w:w="1595" w:type="dxa"/>
            <w:vAlign w:val="center"/>
          </w:tcPr>
          <w:p w:rsidR="003F1E12" w:rsidRPr="00853EE9" w:rsidRDefault="00943E0A" w:rsidP="00B02D37">
            <w:pPr>
              <w:jc w:val="right"/>
              <w:rPr>
                <w:color w:val="EC6608" w:themeColor="accent3"/>
                <w:sz w:val="26"/>
                <w:szCs w:val="26"/>
              </w:rPr>
            </w:pPr>
            <w:r w:rsidRPr="00943E0A">
              <w:rPr>
                <w:b/>
                <w:color w:val="EC6608" w:themeColor="accent3"/>
                <w:sz w:val="26"/>
                <w:szCs w:val="26"/>
              </w:rPr>
              <w:t>19.015</w:t>
            </w:r>
          </w:p>
        </w:tc>
        <w:tc>
          <w:tcPr>
            <w:tcW w:w="1802" w:type="dxa"/>
            <w:vAlign w:val="center"/>
          </w:tcPr>
          <w:p w:rsidR="003F1E12" w:rsidRDefault="003F1E12" w:rsidP="00B02D37">
            <w:pPr>
              <w:jc w:val="left"/>
            </w:pPr>
            <w:r w:rsidRPr="00AB0CED">
              <w:t>N</w:t>
            </w:r>
            <w:r w:rsidRPr="00D45C3B">
              <w:t>eugründungen</w:t>
            </w:r>
          </w:p>
        </w:tc>
        <w:tc>
          <w:tcPr>
            <w:tcW w:w="1276" w:type="dxa"/>
            <w:vAlign w:val="center"/>
          </w:tcPr>
          <w:p w:rsidR="003F1E12" w:rsidRPr="00853EE9" w:rsidRDefault="00943E0A" w:rsidP="00B02D37">
            <w:pPr>
              <w:jc w:val="right"/>
              <w:rPr>
                <w:color w:val="EC6608" w:themeColor="accent3"/>
                <w:sz w:val="26"/>
                <w:szCs w:val="26"/>
              </w:rPr>
            </w:pPr>
            <w:r w:rsidRPr="00943E0A">
              <w:rPr>
                <w:b/>
                <w:color w:val="EC6608" w:themeColor="accent3"/>
                <w:sz w:val="26"/>
                <w:szCs w:val="26"/>
              </w:rPr>
              <w:t>46.666</w:t>
            </w:r>
          </w:p>
        </w:tc>
        <w:tc>
          <w:tcPr>
            <w:tcW w:w="1559" w:type="dxa"/>
            <w:vAlign w:val="center"/>
          </w:tcPr>
          <w:p w:rsidR="003F1E12" w:rsidRDefault="003F1E12" w:rsidP="00B02D37">
            <w:pPr>
              <w:jc w:val="left"/>
            </w:pPr>
            <w:r w:rsidRPr="00AB0CED">
              <w:t>L</w:t>
            </w:r>
            <w:r w:rsidRPr="00D45C3B">
              <w:t>ehrlinge</w:t>
            </w:r>
          </w:p>
        </w:tc>
        <w:tc>
          <w:tcPr>
            <w:tcW w:w="1560" w:type="dxa"/>
            <w:vAlign w:val="center"/>
          </w:tcPr>
          <w:p w:rsidR="003F1E12" w:rsidRPr="00853EE9" w:rsidRDefault="003F1E12" w:rsidP="00B02D37">
            <w:pPr>
              <w:jc w:val="right"/>
              <w:rPr>
                <w:color w:val="EC6608" w:themeColor="accent3"/>
              </w:rPr>
            </w:pPr>
          </w:p>
        </w:tc>
        <w:tc>
          <w:tcPr>
            <w:tcW w:w="1779" w:type="dxa"/>
            <w:vAlign w:val="center"/>
          </w:tcPr>
          <w:p w:rsidR="003F1E12" w:rsidRDefault="003F1E12" w:rsidP="00B02D37">
            <w:pPr>
              <w:jc w:val="left"/>
            </w:pPr>
          </w:p>
        </w:tc>
      </w:tr>
      <w:tr w:rsidR="003F1E12" w:rsidTr="00160B5D">
        <w:trPr>
          <w:trHeight w:val="311"/>
        </w:trPr>
        <w:tc>
          <w:tcPr>
            <w:tcW w:w="9571" w:type="dxa"/>
            <w:gridSpan w:val="6"/>
          </w:tcPr>
          <w:p w:rsidR="003F1E12" w:rsidRDefault="00943E0A" w:rsidP="007B6BF6">
            <w:pPr>
              <w:pStyle w:val="Quelle"/>
            </w:pPr>
            <w:r>
              <w:t>Quellen: Wirtschaftskammer Österreich (Beschäftigungsstatistik 2022: Unternehmen, Beschäftigte ohne geringfügig Beschäftigte, 831.144 Beschäftigte einschließlich geringfügig Beschäftigte; Lehrlingsstatistik 2023; Neugründungsstatistik 2023, vorläufige Werte), KMU Forschung Austria auf Basis von Statistik Austria (Leistungs- und Strukturstatistik in der Kammersystematik 202</w:t>
            </w:r>
            <w:r w:rsidR="007B6BF6">
              <w:t>1</w:t>
            </w:r>
            <w:r>
              <w:t>, Hochrechnung auf 2023); jeweils letztverfügbare Daten</w:t>
            </w:r>
          </w:p>
        </w:tc>
      </w:tr>
    </w:tbl>
    <w:p w:rsidR="003F1E12" w:rsidRPr="001D5E02" w:rsidRDefault="00B02D37" w:rsidP="001D5E02">
      <w:pPr>
        <w:pStyle w:val="berschrift2"/>
        <w:numPr>
          <w:ilvl w:val="0"/>
          <w:numId w:val="0"/>
        </w:numPr>
      </w:pPr>
      <w:bookmarkStart w:id="7" w:name="_Toc83113297"/>
      <w:bookmarkStart w:id="8" w:name="_Toc122012090"/>
      <w:bookmarkStart w:id="9" w:name="_Toc162964610"/>
      <w:bookmarkEnd w:id="6"/>
      <w:r w:rsidRPr="001D5E02">
        <w:t xml:space="preserve">Entwicklung im Gesamtjahr </w:t>
      </w:r>
      <w:bookmarkEnd w:id="7"/>
      <w:r w:rsidR="00943E0A">
        <w:t>2023</w:t>
      </w:r>
      <w:bookmarkEnd w:id="8"/>
      <w:bookmarkEnd w:id="9"/>
    </w:p>
    <w:tbl>
      <w:tblPr>
        <w:tblStyle w:val="Tabellenraster"/>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1595"/>
        <w:gridCol w:w="1802"/>
        <w:gridCol w:w="1276"/>
        <w:gridCol w:w="1559"/>
        <w:gridCol w:w="1560"/>
        <w:gridCol w:w="1779"/>
      </w:tblGrid>
      <w:tr w:rsidR="009F089D" w:rsidTr="00160B5D">
        <w:tc>
          <w:tcPr>
            <w:tcW w:w="3397" w:type="dxa"/>
            <w:gridSpan w:val="2"/>
            <w:vAlign w:val="center"/>
          </w:tcPr>
          <w:p w:rsidR="00B02D37" w:rsidRDefault="00853EE9" w:rsidP="00B02D37">
            <w:pPr>
              <w:jc w:val="center"/>
            </w:pPr>
            <w:r>
              <w:rPr>
                <w:noProof/>
                <w:lang w:eastAsia="de-AT"/>
              </w:rPr>
              <w:drawing>
                <wp:inline distT="0" distB="0" distL="0" distR="0">
                  <wp:extent cx="621170" cy="504000"/>
                  <wp:effectExtent l="0" t="0" r="0" b="0"/>
                  <wp:docPr id="30" name="Grafik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 name="Analyse_Graph_2_dg.png"/>
                          <pic:cNvPicPr/>
                        </pic:nvPicPr>
                        <pic:blipFill rotWithShape="1">
                          <a:blip r:embed="rId23" cstate="print">
                            <a:extLst>
                              <a:ext uri="{28A0092B-C50C-407E-A947-70E740481C1C}">
                                <a14:useLocalDpi xmlns:a14="http://schemas.microsoft.com/office/drawing/2010/main" val="0"/>
                              </a:ext>
                            </a:extLst>
                          </a:blip>
                          <a:srcRect t="9944" b="8920"/>
                          <a:stretch/>
                        </pic:blipFill>
                        <pic:spPr bwMode="auto">
                          <a:xfrm>
                            <a:off x="0" y="0"/>
                            <a:ext cx="621170" cy="504000"/>
                          </a:xfrm>
                          <a:prstGeom prst="rect">
                            <a:avLst/>
                          </a:prstGeom>
                          <a:ln>
                            <a:noFill/>
                          </a:ln>
                          <a:extLst>
                            <a:ext uri="{53640926-AAD7-44D8-BBD7-CCE9431645EC}">
                              <a14:shadowObscured xmlns:a14="http://schemas.microsoft.com/office/drawing/2010/main"/>
                            </a:ext>
                          </a:extLst>
                        </pic:spPr>
                      </pic:pic>
                    </a:graphicData>
                  </a:graphic>
                </wp:inline>
              </w:drawing>
            </w:r>
          </w:p>
        </w:tc>
        <w:tc>
          <w:tcPr>
            <w:tcW w:w="2835" w:type="dxa"/>
            <w:gridSpan w:val="2"/>
            <w:vAlign w:val="center"/>
          </w:tcPr>
          <w:p w:rsidR="00B02D37" w:rsidRDefault="00853EE9" w:rsidP="00B02D37">
            <w:pPr>
              <w:jc w:val="center"/>
            </w:pPr>
            <w:r>
              <w:rPr>
                <w:noProof/>
                <w:lang w:eastAsia="de-AT"/>
              </w:rPr>
              <w:drawing>
                <wp:inline distT="0" distB="0" distL="0" distR="0">
                  <wp:extent cx="624136" cy="504000"/>
                  <wp:effectExtent l="0" t="0" r="0" b="0"/>
                  <wp:docPr id="31" name="Grafik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 name="Export_dg.png"/>
                          <pic:cNvPicPr/>
                        </pic:nvPicPr>
                        <pic:blipFill rotWithShape="1">
                          <a:blip r:embed="rId24" cstate="print">
                            <a:extLst>
                              <a:ext uri="{28A0092B-C50C-407E-A947-70E740481C1C}">
                                <a14:useLocalDpi xmlns:a14="http://schemas.microsoft.com/office/drawing/2010/main" val="0"/>
                              </a:ext>
                            </a:extLst>
                          </a:blip>
                          <a:srcRect t="4132" b="15117"/>
                          <a:stretch/>
                        </pic:blipFill>
                        <pic:spPr bwMode="auto">
                          <a:xfrm>
                            <a:off x="0" y="0"/>
                            <a:ext cx="624136" cy="504000"/>
                          </a:xfrm>
                          <a:prstGeom prst="rect">
                            <a:avLst/>
                          </a:prstGeom>
                          <a:ln>
                            <a:noFill/>
                          </a:ln>
                          <a:extLst>
                            <a:ext uri="{53640926-AAD7-44D8-BBD7-CCE9431645EC}">
                              <a14:shadowObscured xmlns:a14="http://schemas.microsoft.com/office/drawing/2010/main"/>
                            </a:ext>
                          </a:extLst>
                        </pic:spPr>
                      </pic:pic>
                    </a:graphicData>
                  </a:graphic>
                </wp:inline>
              </w:drawing>
            </w:r>
          </w:p>
        </w:tc>
        <w:tc>
          <w:tcPr>
            <w:tcW w:w="3339" w:type="dxa"/>
            <w:gridSpan w:val="2"/>
            <w:vAlign w:val="center"/>
          </w:tcPr>
          <w:p w:rsidR="00B02D37" w:rsidRDefault="00853EE9" w:rsidP="00B02D37">
            <w:pPr>
              <w:jc w:val="center"/>
            </w:pPr>
            <w:r>
              <w:rPr>
                <w:noProof/>
                <w:lang w:eastAsia="de-AT"/>
              </w:rPr>
              <w:drawing>
                <wp:inline distT="0" distB="0" distL="0" distR="0">
                  <wp:extent cx="612000" cy="612000"/>
                  <wp:effectExtent l="0" t="0" r="0" b="0"/>
                  <wp:docPr id="34" name="Grafik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 name="Investment_dg.png"/>
                          <pic:cNvPicPr/>
                        </pic:nvPicPr>
                        <pic:blipFill>
                          <a:blip r:embed="rId25" cstate="print">
                            <a:extLst>
                              <a:ext uri="{28A0092B-C50C-407E-A947-70E740481C1C}">
                                <a14:useLocalDpi xmlns:a14="http://schemas.microsoft.com/office/drawing/2010/main" val="0"/>
                              </a:ext>
                            </a:extLst>
                          </a:blip>
                          <a:stretch>
                            <a:fillRect/>
                          </a:stretch>
                        </pic:blipFill>
                        <pic:spPr>
                          <a:xfrm>
                            <a:off x="0" y="0"/>
                            <a:ext cx="612000" cy="612000"/>
                          </a:xfrm>
                          <a:prstGeom prst="rect">
                            <a:avLst/>
                          </a:prstGeom>
                        </pic:spPr>
                      </pic:pic>
                    </a:graphicData>
                  </a:graphic>
                </wp:inline>
              </w:drawing>
            </w:r>
          </w:p>
        </w:tc>
      </w:tr>
      <w:tr w:rsidR="00B02D37" w:rsidTr="00160B5D">
        <w:tc>
          <w:tcPr>
            <w:tcW w:w="3397" w:type="dxa"/>
            <w:gridSpan w:val="2"/>
            <w:vAlign w:val="center"/>
          </w:tcPr>
          <w:p w:rsidR="00B02D37" w:rsidRDefault="00B02D37" w:rsidP="00B02D37">
            <w:pPr>
              <w:jc w:val="center"/>
              <w:rPr>
                <w:noProof/>
                <w:lang w:eastAsia="de-AT"/>
              </w:rPr>
            </w:pPr>
            <w:r>
              <w:t>Umsatzentwicklung</w:t>
            </w:r>
          </w:p>
        </w:tc>
        <w:tc>
          <w:tcPr>
            <w:tcW w:w="2835" w:type="dxa"/>
            <w:gridSpan w:val="2"/>
            <w:vAlign w:val="center"/>
          </w:tcPr>
          <w:p w:rsidR="00B02D37" w:rsidRPr="00A74175" w:rsidRDefault="00B02D37" w:rsidP="00B02D37">
            <w:pPr>
              <w:jc w:val="center"/>
              <w:rPr>
                <w:noProof/>
                <w:lang w:eastAsia="de-AT"/>
              </w:rPr>
            </w:pPr>
            <w:r>
              <w:t>Exporte</w:t>
            </w:r>
          </w:p>
        </w:tc>
        <w:tc>
          <w:tcPr>
            <w:tcW w:w="3339" w:type="dxa"/>
            <w:gridSpan w:val="2"/>
            <w:vAlign w:val="center"/>
          </w:tcPr>
          <w:p w:rsidR="00B02D37" w:rsidRDefault="00B02D37" w:rsidP="00B02D37">
            <w:pPr>
              <w:jc w:val="center"/>
              <w:rPr>
                <w:noProof/>
                <w:lang w:eastAsia="de-AT"/>
              </w:rPr>
            </w:pPr>
            <w:r w:rsidRPr="00A74175">
              <w:t>Investitionen</w:t>
            </w:r>
          </w:p>
        </w:tc>
      </w:tr>
      <w:tr w:rsidR="00B02D37" w:rsidTr="00160B5D">
        <w:trPr>
          <w:trHeight w:val="311"/>
        </w:trPr>
        <w:tc>
          <w:tcPr>
            <w:tcW w:w="1595" w:type="dxa"/>
            <w:vAlign w:val="center"/>
          </w:tcPr>
          <w:p w:rsidR="00B02D37" w:rsidRDefault="00B02D37" w:rsidP="00B02D37">
            <w:pPr>
              <w:jc w:val="right"/>
            </w:pPr>
            <w:r>
              <w:t>nominell:</w:t>
            </w:r>
          </w:p>
        </w:tc>
        <w:tc>
          <w:tcPr>
            <w:tcW w:w="1802" w:type="dxa"/>
            <w:vAlign w:val="center"/>
          </w:tcPr>
          <w:p w:rsidR="00B02D37" w:rsidRPr="00853EE9" w:rsidRDefault="00943E0A" w:rsidP="00B02D37">
            <w:pPr>
              <w:jc w:val="left"/>
              <w:rPr>
                <w:color w:val="EC6608" w:themeColor="accent3"/>
                <w:sz w:val="26"/>
                <w:szCs w:val="26"/>
              </w:rPr>
            </w:pPr>
            <w:r w:rsidRPr="00943E0A">
              <w:rPr>
                <w:b/>
                <w:color w:val="EC6608" w:themeColor="accent3"/>
                <w:sz w:val="26"/>
                <w:szCs w:val="26"/>
              </w:rPr>
              <w:t>+1,2</w:t>
            </w:r>
            <w:r>
              <w:rPr>
                <w:b/>
                <w:color w:val="EC6608" w:themeColor="accent3"/>
                <w:sz w:val="26"/>
                <w:szCs w:val="26"/>
              </w:rPr>
              <w:t> %</w:t>
            </w:r>
          </w:p>
        </w:tc>
        <w:tc>
          <w:tcPr>
            <w:tcW w:w="1276" w:type="dxa"/>
            <w:vAlign w:val="center"/>
          </w:tcPr>
          <w:p w:rsidR="00B02D37" w:rsidRPr="00853EE9" w:rsidRDefault="00943E0A" w:rsidP="00B02D37">
            <w:pPr>
              <w:jc w:val="right"/>
              <w:rPr>
                <w:color w:val="EC6608" w:themeColor="accent3"/>
                <w:sz w:val="26"/>
                <w:szCs w:val="26"/>
              </w:rPr>
            </w:pPr>
            <w:r w:rsidRPr="00943E0A">
              <w:rPr>
                <w:b/>
                <w:color w:val="EC6608" w:themeColor="accent3"/>
                <w:sz w:val="26"/>
                <w:szCs w:val="26"/>
              </w:rPr>
              <w:t>5,8</w:t>
            </w:r>
            <w:r>
              <w:rPr>
                <w:b/>
                <w:color w:val="EC6608" w:themeColor="accent3"/>
                <w:sz w:val="26"/>
                <w:szCs w:val="26"/>
              </w:rPr>
              <w:t> %</w:t>
            </w:r>
          </w:p>
        </w:tc>
        <w:tc>
          <w:tcPr>
            <w:tcW w:w="1559" w:type="dxa"/>
            <w:vAlign w:val="center"/>
          </w:tcPr>
          <w:p w:rsidR="00B02D37" w:rsidRDefault="00B02D37" w:rsidP="00B02D37">
            <w:pPr>
              <w:jc w:val="left"/>
            </w:pPr>
            <w:r>
              <w:t>des Umsatzes</w:t>
            </w:r>
          </w:p>
        </w:tc>
        <w:tc>
          <w:tcPr>
            <w:tcW w:w="1560" w:type="dxa"/>
            <w:vAlign w:val="center"/>
          </w:tcPr>
          <w:p w:rsidR="00B02D37" w:rsidRPr="00866CE2" w:rsidRDefault="00943E0A" w:rsidP="00866CE2">
            <w:pPr>
              <w:jc w:val="right"/>
              <w:rPr>
                <w:b/>
                <w:color w:val="EC6608" w:themeColor="accent3"/>
                <w:sz w:val="26"/>
                <w:szCs w:val="26"/>
              </w:rPr>
            </w:pPr>
            <w:r>
              <w:rPr>
                <w:b/>
                <w:color w:val="EC6608" w:themeColor="accent3"/>
                <w:sz w:val="26"/>
                <w:szCs w:val="26"/>
              </w:rPr>
              <w:t>€ </w:t>
            </w:r>
            <w:r w:rsidRPr="00943E0A">
              <w:rPr>
                <w:b/>
                <w:color w:val="EC6608" w:themeColor="accent3"/>
                <w:sz w:val="26"/>
                <w:szCs w:val="26"/>
              </w:rPr>
              <w:t>4.200</w:t>
            </w:r>
          </w:p>
        </w:tc>
        <w:tc>
          <w:tcPr>
            <w:tcW w:w="1779" w:type="dxa"/>
            <w:vAlign w:val="center"/>
          </w:tcPr>
          <w:p w:rsidR="00B02D37" w:rsidRDefault="00B02D37" w:rsidP="00B02D37">
            <w:pPr>
              <w:jc w:val="left"/>
            </w:pPr>
            <w:r w:rsidRPr="00A74175">
              <w:t>je Beschäftigten</w:t>
            </w:r>
          </w:p>
        </w:tc>
      </w:tr>
      <w:tr w:rsidR="00B02D37" w:rsidTr="00160B5D">
        <w:trPr>
          <w:trHeight w:val="311"/>
        </w:trPr>
        <w:tc>
          <w:tcPr>
            <w:tcW w:w="1595" w:type="dxa"/>
            <w:vAlign w:val="center"/>
          </w:tcPr>
          <w:p w:rsidR="00B02D37" w:rsidRDefault="00B02D37" w:rsidP="00B02D37">
            <w:pPr>
              <w:jc w:val="right"/>
            </w:pPr>
            <w:r>
              <w:t>real:</w:t>
            </w:r>
          </w:p>
        </w:tc>
        <w:tc>
          <w:tcPr>
            <w:tcW w:w="1802" w:type="dxa"/>
            <w:vAlign w:val="center"/>
          </w:tcPr>
          <w:p w:rsidR="00B02D37" w:rsidRPr="00853EE9" w:rsidRDefault="00943E0A" w:rsidP="00B02D37">
            <w:pPr>
              <w:jc w:val="left"/>
              <w:rPr>
                <w:color w:val="EC6608" w:themeColor="accent3"/>
                <w:sz w:val="26"/>
                <w:szCs w:val="26"/>
              </w:rPr>
            </w:pPr>
            <w:r w:rsidRPr="00943E0A">
              <w:rPr>
                <w:b/>
                <w:color w:val="EC6608" w:themeColor="accent3"/>
                <w:sz w:val="26"/>
                <w:szCs w:val="26"/>
              </w:rPr>
              <w:t>-5,6</w:t>
            </w:r>
            <w:r>
              <w:rPr>
                <w:b/>
                <w:color w:val="EC6608" w:themeColor="accent3"/>
                <w:sz w:val="26"/>
                <w:szCs w:val="26"/>
              </w:rPr>
              <w:t> %</w:t>
            </w:r>
          </w:p>
        </w:tc>
        <w:tc>
          <w:tcPr>
            <w:tcW w:w="1276" w:type="dxa"/>
            <w:vAlign w:val="center"/>
          </w:tcPr>
          <w:p w:rsidR="00B02D37" w:rsidRPr="00853EE9" w:rsidRDefault="00B02D37" w:rsidP="00B02D37">
            <w:pPr>
              <w:jc w:val="right"/>
              <w:rPr>
                <w:color w:val="EC6608" w:themeColor="accent3"/>
              </w:rPr>
            </w:pPr>
          </w:p>
        </w:tc>
        <w:tc>
          <w:tcPr>
            <w:tcW w:w="1559" w:type="dxa"/>
            <w:vAlign w:val="center"/>
          </w:tcPr>
          <w:p w:rsidR="00B02D37" w:rsidRDefault="00B02D37" w:rsidP="00B02D37">
            <w:pPr>
              <w:jc w:val="left"/>
            </w:pPr>
          </w:p>
        </w:tc>
        <w:tc>
          <w:tcPr>
            <w:tcW w:w="1560" w:type="dxa"/>
            <w:vAlign w:val="center"/>
          </w:tcPr>
          <w:p w:rsidR="00B02D37" w:rsidRPr="00853EE9" w:rsidRDefault="00B02D37" w:rsidP="00853EE9">
            <w:pPr>
              <w:jc w:val="right"/>
            </w:pPr>
          </w:p>
        </w:tc>
        <w:tc>
          <w:tcPr>
            <w:tcW w:w="1779" w:type="dxa"/>
            <w:vAlign w:val="center"/>
          </w:tcPr>
          <w:p w:rsidR="00B02D37" w:rsidRPr="00853EE9" w:rsidRDefault="00943E0A" w:rsidP="00B02D37">
            <w:pPr>
              <w:jc w:val="left"/>
              <w:rPr>
                <w:color w:val="EC6608" w:themeColor="accent3"/>
                <w:sz w:val="26"/>
                <w:szCs w:val="26"/>
              </w:rPr>
            </w:pPr>
            <w:r w:rsidRPr="00943E0A">
              <w:rPr>
                <w:b/>
                <w:color w:val="EC6608" w:themeColor="accent3"/>
                <w:sz w:val="26"/>
                <w:szCs w:val="26"/>
              </w:rPr>
              <w:t>-18</w:t>
            </w:r>
            <w:r>
              <w:rPr>
                <w:b/>
                <w:color w:val="EC6608" w:themeColor="accent3"/>
                <w:sz w:val="26"/>
                <w:szCs w:val="26"/>
              </w:rPr>
              <w:t> %</w:t>
            </w:r>
          </w:p>
        </w:tc>
      </w:tr>
    </w:tbl>
    <w:p w:rsidR="00B02D37" w:rsidRPr="009161C3" w:rsidRDefault="00943E0A" w:rsidP="00B02D37">
      <w:pPr>
        <w:spacing w:before="240"/>
      </w:pPr>
      <w:r>
        <w:t xml:space="preserve">Die größten Herausforderungen für 2024 sind die Preissteigerungen bei Rohstoffen und Materialien, die Steuern und Abgaben </w:t>
      </w:r>
      <w:r w:rsidR="00F94177">
        <w:t>sowie</w:t>
      </w:r>
      <w:r>
        <w:t xml:space="preserve"> die Preissteigerungen bei Energie.</w:t>
      </w:r>
    </w:p>
    <w:p w:rsidR="008C76F6" w:rsidRPr="001D5E02" w:rsidRDefault="008C76F6" w:rsidP="001D5E02">
      <w:pPr>
        <w:pStyle w:val="berschrift2"/>
        <w:numPr>
          <w:ilvl w:val="0"/>
          <w:numId w:val="0"/>
        </w:numPr>
      </w:pPr>
      <w:bookmarkStart w:id="10" w:name="_Toc83113298"/>
      <w:bookmarkStart w:id="11" w:name="_Toc122012091"/>
      <w:bookmarkStart w:id="12" w:name="_Toc162964611"/>
      <w:r w:rsidRPr="001D5E02">
        <w:t>Aktuelle</w:t>
      </w:r>
      <w:r w:rsidR="00943E0A">
        <w:t> Quartal</w:t>
      </w:r>
      <w:r w:rsidRPr="001D5E02">
        <w:t xml:space="preserve">serhebung </w:t>
      </w:r>
      <w:bookmarkEnd w:id="10"/>
      <w:r w:rsidR="00943E0A">
        <w:t>2024</w:t>
      </w:r>
      <w:bookmarkEnd w:id="11"/>
      <w:bookmarkEnd w:id="12"/>
    </w:p>
    <w:tbl>
      <w:tblPr>
        <w:tblStyle w:val="Tabellenraster"/>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1980"/>
        <w:gridCol w:w="7576"/>
      </w:tblGrid>
      <w:tr w:rsidR="008C76F6" w:rsidTr="00ED7317">
        <w:tc>
          <w:tcPr>
            <w:tcW w:w="1980" w:type="dxa"/>
            <w:vAlign w:val="center"/>
          </w:tcPr>
          <w:p w:rsidR="008C76F6" w:rsidRDefault="00853EE9" w:rsidP="00370341">
            <w:pPr>
              <w:jc w:val="center"/>
            </w:pPr>
            <w:r>
              <w:rPr>
                <w:noProof/>
                <w:lang w:eastAsia="de-AT"/>
              </w:rPr>
              <w:drawing>
                <wp:inline distT="0" distB="0" distL="0" distR="0">
                  <wp:extent cx="630000" cy="630000"/>
                  <wp:effectExtent l="0" t="0" r="0" b="0"/>
                  <wp:docPr id="35" name="Grafik 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 name="Jahreszeiten_Thermometer_dg.png"/>
                          <pic:cNvPicPr/>
                        </pic:nvPicPr>
                        <pic:blipFill>
                          <a:blip r:embed="rId26" cstate="print">
                            <a:extLst>
                              <a:ext uri="{28A0092B-C50C-407E-A947-70E740481C1C}">
                                <a14:useLocalDpi xmlns:a14="http://schemas.microsoft.com/office/drawing/2010/main" val="0"/>
                              </a:ext>
                            </a:extLst>
                          </a:blip>
                          <a:stretch>
                            <a:fillRect/>
                          </a:stretch>
                        </pic:blipFill>
                        <pic:spPr>
                          <a:xfrm>
                            <a:off x="0" y="0"/>
                            <a:ext cx="630000" cy="630000"/>
                          </a:xfrm>
                          <a:prstGeom prst="rect">
                            <a:avLst/>
                          </a:prstGeom>
                        </pic:spPr>
                      </pic:pic>
                    </a:graphicData>
                  </a:graphic>
                </wp:inline>
              </w:drawing>
            </w:r>
          </w:p>
          <w:p w:rsidR="008C76F6" w:rsidRDefault="008C76F6" w:rsidP="00160B5D">
            <w:pPr>
              <w:jc w:val="center"/>
            </w:pPr>
            <w:r w:rsidRPr="008C76F6">
              <w:t xml:space="preserve">Geschäftslage </w:t>
            </w:r>
            <w:r w:rsidRPr="008C76F6">
              <w:br/>
            </w:r>
            <w:r w:rsidR="00943E0A">
              <w:t>1. Quartal 2024</w:t>
            </w:r>
            <w:r w:rsidRPr="00853EE9">
              <w:rPr>
                <w:color w:val="EC6608" w:themeColor="accent3"/>
              </w:rPr>
              <w:br/>
            </w:r>
            <w:r w:rsidR="00943E0A" w:rsidRPr="00943E0A">
              <w:rPr>
                <w:b/>
                <w:color w:val="EC6608" w:themeColor="accent3"/>
                <w:sz w:val="26"/>
                <w:szCs w:val="26"/>
              </w:rPr>
              <w:t>-10</w:t>
            </w:r>
            <w:r w:rsidR="00943E0A">
              <w:rPr>
                <w:b/>
                <w:color w:val="EC6608" w:themeColor="accent3"/>
                <w:sz w:val="26"/>
                <w:szCs w:val="26"/>
              </w:rPr>
              <w:t> %</w:t>
            </w:r>
            <w:r w:rsidR="00943E0A" w:rsidRPr="00943E0A">
              <w:rPr>
                <w:b/>
                <w:color w:val="EC6608" w:themeColor="accent3"/>
                <w:sz w:val="26"/>
                <w:szCs w:val="26"/>
              </w:rPr>
              <w:t>-Punkte</w:t>
            </w:r>
          </w:p>
        </w:tc>
        <w:tc>
          <w:tcPr>
            <w:tcW w:w="7576" w:type="dxa"/>
            <w:vAlign w:val="center"/>
          </w:tcPr>
          <w:p w:rsidR="008C76F6" w:rsidRDefault="00943E0A" w:rsidP="008C76F6">
            <w:r>
              <w:t xml:space="preserve">Die österreichischen Gewerbe- und Handwerksbetriebe beurteilen die Geschäftslage im 1. Quartal 2024 </w:t>
            </w:r>
            <w:r w:rsidR="00E13464">
              <w:t xml:space="preserve">deutlich </w:t>
            </w:r>
            <w:r>
              <w:t xml:space="preserve">schlechter als </w:t>
            </w:r>
            <w:r w:rsidR="00D2237B">
              <w:t>im Vorjahresquartal (+1 %-Punkt</w:t>
            </w:r>
            <w:r>
              <w:t>).</w:t>
            </w:r>
            <w:r w:rsidR="008C76F6" w:rsidRPr="00792C34">
              <w:t xml:space="preserve"> </w:t>
            </w:r>
            <w:r>
              <w:t>Per Saldo überwiegen die Unternehmen mit einem schlechten Geschäftsverlauf.</w:t>
            </w:r>
            <w:bookmarkStart w:id="13" w:name="_GoBack"/>
            <w:bookmarkEnd w:id="13"/>
          </w:p>
        </w:tc>
      </w:tr>
      <w:tr w:rsidR="008C76F6" w:rsidTr="00ED7317">
        <w:tc>
          <w:tcPr>
            <w:tcW w:w="1980" w:type="dxa"/>
            <w:vAlign w:val="center"/>
          </w:tcPr>
          <w:p w:rsidR="008C76F6" w:rsidRDefault="00853EE9" w:rsidP="00370341">
            <w:pPr>
              <w:jc w:val="center"/>
              <w:rPr>
                <w:noProof/>
                <w:lang w:eastAsia="de-AT"/>
              </w:rPr>
            </w:pPr>
            <w:r>
              <w:rPr>
                <w:noProof/>
                <w:lang w:eastAsia="de-AT"/>
              </w:rPr>
              <w:drawing>
                <wp:inline distT="0" distB="0" distL="0" distR="0">
                  <wp:extent cx="621865" cy="525600"/>
                  <wp:effectExtent l="0" t="0" r="0" b="8255"/>
                  <wp:docPr id="37" name="Grafik 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 name="Profil_dg.png"/>
                          <pic:cNvPicPr/>
                        </pic:nvPicPr>
                        <pic:blipFill rotWithShape="1">
                          <a:blip r:embed="rId27" cstate="print">
                            <a:extLst>
                              <a:ext uri="{28A0092B-C50C-407E-A947-70E740481C1C}">
                                <a14:useLocalDpi xmlns:a14="http://schemas.microsoft.com/office/drawing/2010/main" val="0"/>
                              </a:ext>
                            </a:extLst>
                          </a:blip>
                          <a:srcRect t="7078" b="8403"/>
                          <a:stretch/>
                        </pic:blipFill>
                        <pic:spPr bwMode="auto">
                          <a:xfrm>
                            <a:off x="0" y="0"/>
                            <a:ext cx="621865" cy="525600"/>
                          </a:xfrm>
                          <a:prstGeom prst="rect">
                            <a:avLst/>
                          </a:prstGeom>
                          <a:ln>
                            <a:noFill/>
                          </a:ln>
                          <a:extLst>
                            <a:ext uri="{53640926-AAD7-44D8-BBD7-CCE9431645EC}">
                              <a14:shadowObscured xmlns:a14="http://schemas.microsoft.com/office/drawing/2010/main"/>
                            </a:ext>
                          </a:extLst>
                        </pic:spPr>
                      </pic:pic>
                    </a:graphicData>
                  </a:graphic>
                </wp:inline>
              </w:drawing>
            </w:r>
          </w:p>
          <w:p w:rsidR="008C76F6" w:rsidRPr="009161C3" w:rsidRDefault="008C76F6" w:rsidP="00370341">
            <w:pPr>
              <w:jc w:val="center"/>
              <w:rPr>
                <w:noProof/>
                <w:lang w:eastAsia="de-AT"/>
              </w:rPr>
            </w:pPr>
            <w:r w:rsidRPr="008C76F6">
              <w:t>Erwartungen</w:t>
            </w:r>
            <w:r w:rsidRPr="008C76F6">
              <w:br/>
            </w:r>
            <w:r w:rsidR="00943E0A">
              <w:t>2. Quartal 2024</w:t>
            </w:r>
            <w:r w:rsidRPr="00853EE9">
              <w:rPr>
                <w:color w:val="EC6608" w:themeColor="accent3"/>
              </w:rPr>
              <w:br/>
            </w:r>
            <w:r w:rsidR="00943E0A" w:rsidRPr="00943E0A">
              <w:rPr>
                <w:b/>
                <w:color w:val="EC6608" w:themeColor="accent3"/>
                <w:sz w:val="26"/>
                <w:szCs w:val="26"/>
              </w:rPr>
              <w:t>-14</w:t>
            </w:r>
            <w:r w:rsidR="00943E0A">
              <w:rPr>
                <w:b/>
                <w:color w:val="EC6608" w:themeColor="accent3"/>
                <w:sz w:val="26"/>
                <w:szCs w:val="26"/>
              </w:rPr>
              <w:t> %</w:t>
            </w:r>
            <w:r w:rsidR="00943E0A" w:rsidRPr="00943E0A">
              <w:rPr>
                <w:b/>
                <w:color w:val="EC6608" w:themeColor="accent3"/>
                <w:sz w:val="26"/>
                <w:szCs w:val="26"/>
              </w:rPr>
              <w:t>-Punkte</w:t>
            </w:r>
          </w:p>
        </w:tc>
        <w:tc>
          <w:tcPr>
            <w:tcW w:w="7576" w:type="dxa"/>
            <w:vAlign w:val="center"/>
          </w:tcPr>
          <w:p w:rsidR="008C76F6" w:rsidRDefault="00943E0A" w:rsidP="00E13464">
            <w:r>
              <w:t>Für das 2. Quartal 2024 überwiegen per Saldo die pessimistischen Einschätzungen um 14 %-Punkte.</w:t>
            </w:r>
            <w:r w:rsidR="008C76F6" w:rsidRPr="00792C34">
              <w:t xml:space="preserve"> </w:t>
            </w:r>
            <w:r>
              <w:t xml:space="preserve">Die Erwartungen in Hinblick auf die Auftragseingänge/Umsätze sind </w:t>
            </w:r>
            <w:r w:rsidR="00E13464">
              <w:t>weitaus schlechter</w:t>
            </w:r>
            <w:r>
              <w:t xml:space="preserve"> als im Vorjahresquartal </w:t>
            </w:r>
            <w:r w:rsidR="00E13464">
              <w:br/>
            </w:r>
            <w:r>
              <w:t>(-6 %-Punkte).</w:t>
            </w:r>
          </w:p>
        </w:tc>
      </w:tr>
    </w:tbl>
    <w:p w:rsidR="00ED7317" w:rsidRDefault="00ED7317" w:rsidP="00D441F9"/>
    <w:bookmarkEnd w:id="2"/>
    <w:p w:rsidR="00F82DC7" w:rsidRDefault="00F82DC7" w:rsidP="00F82DC7">
      <w:pPr>
        <w:pStyle w:val="Inhaltsverzeichnisberschrift"/>
        <w:outlineLvl w:val="0"/>
      </w:pPr>
      <w:r w:rsidRPr="006968F6">
        <w:lastRenderedPageBreak/>
        <w:t>Inhaltsverzeichnis</w:t>
      </w:r>
    </w:p>
    <w:p w:rsidR="00F94177" w:rsidRDefault="00511091">
      <w:pPr>
        <w:pStyle w:val="Verzeichnis1"/>
        <w:rPr>
          <w:rFonts w:eastAsiaTheme="minorEastAsia"/>
          <w:noProof/>
          <w:sz w:val="22"/>
          <w:szCs w:val="22"/>
          <w:lang w:eastAsia="de-AT"/>
        </w:rPr>
      </w:pPr>
      <w:r>
        <w:fldChar w:fldCharType="begin"/>
      </w:r>
      <w:r>
        <w:instrText xml:space="preserve"> TOC \o "2-3" \h \z \t "Überschrift 1;1" </w:instrText>
      </w:r>
      <w:r>
        <w:fldChar w:fldCharType="separate"/>
      </w:r>
      <w:hyperlink w:anchor="_Toc162964608" w:history="1">
        <w:r w:rsidR="00F94177" w:rsidRPr="00815EF4">
          <w:rPr>
            <w:rStyle w:val="Hyperlink"/>
            <w:noProof/>
          </w:rPr>
          <w:t>Zusammenfassung</w:t>
        </w:r>
        <w:r w:rsidR="00F94177">
          <w:rPr>
            <w:noProof/>
            <w:webHidden/>
          </w:rPr>
          <w:tab/>
        </w:r>
        <w:r w:rsidR="00F94177">
          <w:rPr>
            <w:noProof/>
            <w:webHidden/>
          </w:rPr>
          <w:fldChar w:fldCharType="begin"/>
        </w:r>
        <w:r w:rsidR="00F94177">
          <w:rPr>
            <w:noProof/>
            <w:webHidden/>
          </w:rPr>
          <w:instrText xml:space="preserve"> PAGEREF _Toc162964608 \h </w:instrText>
        </w:r>
        <w:r w:rsidR="00F94177">
          <w:rPr>
            <w:noProof/>
            <w:webHidden/>
          </w:rPr>
        </w:r>
        <w:r w:rsidR="00F94177">
          <w:rPr>
            <w:noProof/>
            <w:webHidden/>
          </w:rPr>
          <w:fldChar w:fldCharType="separate"/>
        </w:r>
        <w:r w:rsidR="00F94177">
          <w:rPr>
            <w:noProof/>
            <w:webHidden/>
          </w:rPr>
          <w:t>3</w:t>
        </w:r>
        <w:r w:rsidR="00F94177">
          <w:rPr>
            <w:noProof/>
            <w:webHidden/>
          </w:rPr>
          <w:fldChar w:fldCharType="end"/>
        </w:r>
      </w:hyperlink>
    </w:p>
    <w:p w:rsidR="00F94177" w:rsidRDefault="00D2237B">
      <w:pPr>
        <w:pStyle w:val="Verzeichnis2"/>
        <w:rPr>
          <w:rFonts w:eastAsiaTheme="minorEastAsia"/>
          <w:noProof/>
          <w:sz w:val="22"/>
          <w:szCs w:val="22"/>
          <w:lang w:eastAsia="de-AT"/>
        </w:rPr>
      </w:pPr>
      <w:hyperlink w:anchor="_Toc162964609" w:history="1">
        <w:r w:rsidR="00F94177" w:rsidRPr="00815EF4">
          <w:rPr>
            <w:rStyle w:val="Hyperlink"/>
            <w:noProof/>
          </w:rPr>
          <w:t>Struktur des Gewerbe und Handwerks 2023</w:t>
        </w:r>
        <w:r w:rsidR="00F94177">
          <w:rPr>
            <w:noProof/>
            <w:webHidden/>
          </w:rPr>
          <w:tab/>
        </w:r>
        <w:r w:rsidR="00F94177">
          <w:rPr>
            <w:noProof/>
            <w:webHidden/>
          </w:rPr>
          <w:fldChar w:fldCharType="begin"/>
        </w:r>
        <w:r w:rsidR="00F94177">
          <w:rPr>
            <w:noProof/>
            <w:webHidden/>
          </w:rPr>
          <w:instrText xml:space="preserve"> PAGEREF _Toc162964609 \h </w:instrText>
        </w:r>
        <w:r w:rsidR="00F94177">
          <w:rPr>
            <w:noProof/>
            <w:webHidden/>
          </w:rPr>
        </w:r>
        <w:r w:rsidR="00F94177">
          <w:rPr>
            <w:noProof/>
            <w:webHidden/>
          </w:rPr>
          <w:fldChar w:fldCharType="separate"/>
        </w:r>
        <w:r w:rsidR="00F94177">
          <w:rPr>
            <w:noProof/>
            <w:webHidden/>
          </w:rPr>
          <w:t>3</w:t>
        </w:r>
        <w:r w:rsidR="00F94177">
          <w:rPr>
            <w:noProof/>
            <w:webHidden/>
          </w:rPr>
          <w:fldChar w:fldCharType="end"/>
        </w:r>
      </w:hyperlink>
    </w:p>
    <w:p w:rsidR="00F94177" w:rsidRDefault="00D2237B">
      <w:pPr>
        <w:pStyle w:val="Verzeichnis2"/>
        <w:rPr>
          <w:rFonts w:eastAsiaTheme="minorEastAsia"/>
          <w:noProof/>
          <w:sz w:val="22"/>
          <w:szCs w:val="22"/>
          <w:lang w:eastAsia="de-AT"/>
        </w:rPr>
      </w:pPr>
      <w:hyperlink w:anchor="_Toc162964610" w:history="1">
        <w:r w:rsidR="00F94177" w:rsidRPr="00815EF4">
          <w:rPr>
            <w:rStyle w:val="Hyperlink"/>
            <w:noProof/>
          </w:rPr>
          <w:t>Entwicklung im Gesamtjahr 2023</w:t>
        </w:r>
        <w:r w:rsidR="00F94177">
          <w:rPr>
            <w:noProof/>
            <w:webHidden/>
          </w:rPr>
          <w:tab/>
        </w:r>
        <w:r w:rsidR="00F94177">
          <w:rPr>
            <w:noProof/>
            <w:webHidden/>
          </w:rPr>
          <w:fldChar w:fldCharType="begin"/>
        </w:r>
        <w:r w:rsidR="00F94177">
          <w:rPr>
            <w:noProof/>
            <w:webHidden/>
          </w:rPr>
          <w:instrText xml:space="preserve"> PAGEREF _Toc162964610 \h </w:instrText>
        </w:r>
        <w:r w:rsidR="00F94177">
          <w:rPr>
            <w:noProof/>
            <w:webHidden/>
          </w:rPr>
        </w:r>
        <w:r w:rsidR="00F94177">
          <w:rPr>
            <w:noProof/>
            <w:webHidden/>
          </w:rPr>
          <w:fldChar w:fldCharType="separate"/>
        </w:r>
        <w:r w:rsidR="00F94177">
          <w:rPr>
            <w:noProof/>
            <w:webHidden/>
          </w:rPr>
          <w:t>3</w:t>
        </w:r>
        <w:r w:rsidR="00F94177">
          <w:rPr>
            <w:noProof/>
            <w:webHidden/>
          </w:rPr>
          <w:fldChar w:fldCharType="end"/>
        </w:r>
      </w:hyperlink>
    </w:p>
    <w:p w:rsidR="00F94177" w:rsidRDefault="00D2237B">
      <w:pPr>
        <w:pStyle w:val="Verzeichnis2"/>
        <w:rPr>
          <w:rFonts w:eastAsiaTheme="minorEastAsia"/>
          <w:noProof/>
          <w:sz w:val="22"/>
          <w:szCs w:val="22"/>
          <w:lang w:eastAsia="de-AT"/>
        </w:rPr>
      </w:pPr>
      <w:hyperlink w:anchor="_Toc162964611" w:history="1">
        <w:r w:rsidR="00F94177" w:rsidRPr="00815EF4">
          <w:rPr>
            <w:rStyle w:val="Hyperlink"/>
            <w:noProof/>
          </w:rPr>
          <w:t>Aktuelle Quartalserhebung 2024</w:t>
        </w:r>
        <w:r w:rsidR="00F94177">
          <w:rPr>
            <w:noProof/>
            <w:webHidden/>
          </w:rPr>
          <w:tab/>
        </w:r>
        <w:r w:rsidR="00F94177">
          <w:rPr>
            <w:noProof/>
            <w:webHidden/>
          </w:rPr>
          <w:fldChar w:fldCharType="begin"/>
        </w:r>
        <w:r w:rsidR="00F94177">
          <w:rPr>
            <w:noProof/>
            <w:webHidden/>
          </w:rPr>
          <w:instrText xml:space="preserve"> PAGEREF _Toc162964611 \h </w:instrText>
        </w:r>
        <w:r w:rsidR="00F94177">
          <w:rPr>
            <w:noProof/>
            <w:webHidden/>
          </w:rPr>
        </w:r>
        <w:r w:rsidR="00F94177">
          <w:rPr>
            <w:noProof/>
            <w:webHidden/>
          </w:rPr>
          <w:fldChar w:fldCharType="separate"/>
        </w:r>
        <w:r w:rsidR="00F94177">
          <w:rPr>
            <w:noProof/>
            <w:webHidden/>
          </w:rPr>
          <w:t>3</w:t>
        </w:r>
        <w:r w:rsidR="00F94177">
          <w:rPr>
            <w:noProof/>
            <w:webHidden/>
          </w:rPr>
          <w:fldChar w:fldCharType="end"/>
        </w:r>
      </w:hyperlink>
    </w:p>
    <w:p w:rsidR="00F94177" w:rsidRDefault="00D2237B">
      <w:pPr>
        <w:pStyle w:val="Verzeichnis1"/>
        <w:rPr>
          <w:rFonts w:eastAsiaTheme="minorEastAsia"/>
          <w:noProof/>
          <w:sz w:val="22"/>
          <w:szCs w:val="22"/>
          <w:lang w:eastAsia="de-AT"/>
        </w:rPr>
      </w:pPr>
      <w:hyperlink w:anchor="_Toc162964612" w:history="1">
        <w:r w:rsidR="00F94177" w:rsidRPr="00815EF4">
          <w:rPr>
            <w:rStyle w:val="Hyperlink"/>
            <w:rFonts w:asciiTheme="majorHAnsi" w:hAnsiTheme="majorHAnsi"/>
            <w:noProof/>
          </w:rPr>
          <w:t>1 |</w:t>
        </w:r>
        <w:r w:rsidR="00F94177" w:rsidRPr="00815EF4">
          <w:rPr>
            <w:rStyle w:val="Hyperlink"/>
            <w:noProof/>
          </w:rPr>
          <w:t xml:space="preserve"> Entwicklung im Gesamtjahr 2023</w:t>
        </w:r>
        <w:r w:rsidR="00F94177">
          <w:rPr>
            <w:noProof/>
            <w:webHidden/>
          </w:rPr>
          <w:tab/>
        </w:r>
        <w:r w:rsidR="00F94177">
          <w:rPr>
            <w:noProof/>
            <w:webHidden/>
          </w:rPr>
          <w:fldChar w:fldCharType="begin"/>
        </w:r>
        <w:r w:rsidR="00F94177">
          <w:rPr>
            <w:noProof/>
            <w:webHidden/>
          </w:rPr>
          <w:instrText xml:space="preserve"> PAGEREF _Toc162964612 \h </w:instrText>
        </w:r>
        <w:r w:rsidR="00F94177">
          <w:rPr>
            <w:noProof/>
            <w:webHidden/>
          </w:rPr>
        </w:r>
        <w:r w:rsidR="00F94177">
          <w:rPr>
            <w:noProof/>
            <w:webHidden/>
          </w:rPr>
          <w:fldChar w:fldCharType="separate"/>
        </w:r>
        <w:r w:rsidR="00F94177">
          <w:rPr>
            <w:noProof/>
            <w:webHidden/>
          </w:rPr>
          <w:t>5</w:t>
        </w:r>
        <w:r w:rsidR="00F94177">
          <w:rPr>
            <w:noProof/>
            <w:webHidden/>
          </w:rPr>
          <w:fldChar w:fldCharType="end"/>
        </w:r>
      </w:hyperlink>
    </w:p>
    <w:p w:rsidR="00F94177" w:rsidRDefault="00D2237B">
      <w:pPr>
        <w:pStyle w:val="Verzeichnis2"/>
        <w:rPr>
          <w:rFonts w:eastAsiaTheme="minorEastAsia"/>
          <w:noProof/>
          <w:sz w:val="22"/>
          <w:szCs w:val="22"/>
          <w:lang w:eastAsia="de-AT"/>
        </w:rPr>
      </w:pPr>
      <w:hyperlink w:anchor="_Toc162964613" w:history="1">
        <w:r w:rsidR="00F94177" w:rsidRPr="00815EF4">
          <w:rPr>
            <w:rStyle w:val="Hyperlink"/>
            <w:rFonts w:asciiTheme="majorHAnsi" w:hAnsiTheme="majorHAnsi"/>
            <w:noProof/>
          </w:rPr>
          <w:t>1.1 |</w:t>
        </w:r>
        <w:r w:rsidR="00F94177" w:rsidRPr="00815EF4">
          <w:rPr>
            <w:rStyle w:val="Hyperlink"/>
            <w:noProof/>
          </w:rPr>
          <w:t xml:space="preserve"> Nominelle Umsatzentwicklung</w:t>
        </w:r>
        <w:r w:rsidR="00F94177">
          <w:rPr>
            <w:noProof/>
            <w:webHidden/>
          </w:rPr>
          <w:tab/>
        </w:r>
        <w:r w:rsidR="00F94177">
          <w:rPr>
            <w:noProof/>
            <w:webHidden/>
          </w:rPr>
          <w:fldChar w:fldCharType="begin"/>
        </w:r>
        <w:r w:rsidR="00F94177">
          <w:rPr>
            <w:noProof/>
            <w:webHidden/>
          </w:rPr>
          <w:instrText xml:space="preserve"> PAGEREF _Toc162964613 \h </w:instrText>
        </w:r>
        <w:r w:rsidR="00F94177">
          <w:rPr>
            <w:noProof/>
            <w:webHidden/>
          </w:rPr>
        </w:r>
        <w:r w:rsidR="00F94177">
          <w:rPr>
            <w:noProof/>
            <w:webHidden/>
          </w:rPr>
          <w:fldChar w:fldCharType="separate"/>
        </w:r>
        <w:r w:rsidR="00F94177">
          <w:rPr>
            <w:noProof/>
            <w:webHidden/>
          </w:rPr>
          <w:t>5</w:t>
        </w:r>
        <w:r w:rsidR="00F94177">
          <w:rPr>
            <w:noProof/>
            <w:webHidden/>
          </w:rPr>
          <w:fldChar w:fldCharType="end"/>
        </w:r>
      </w:hyperlink>
    </w:p>
    <w:p w:rsidR="00F94177" w:rsidRDefault="00D2237B">
      <w:pPr>
        <w:pStyle w:val="Verzeichnis2"/>
        <w:rPr>
          <w:rFonts w:eastAsiaTheme="minorEastAsia"/>
          <w:noProof/>
          <w:sz w:val="22"/>
          <w:szCs w:val="22"/>
          <w:lang w:eastAsia="de-AT"/>
        </w:rPr>
      </w:pPr>
      <w:hyperlink w:anchor="_Toc162964614" w:history="1">
        <w:r w:rsidR="00F94177" w:rsidRPr="00815EF4">
          <w:rPr>
            <w:rStyle w:val="Hyperlink"/>
            <w:rFonts w:asciiTheme="majorHAnsi" w:hAnsiTheme="majorHAnsi"/>
            <w:noProof/>
          </w:rPr>
          <w:t>1.2 |</w:t>
        </w:r>
        <w:r w:rsidR="00F94177" w:rsidRPr="00815EF4">
          <w:rPr>
            <w:rStyle w:val="Hyperlink"/>
            <w:noProof/>
          </w:rPr>
          <w:t xml:space="preserve"> Preisentwicklung</w:t>
        </w:r>
        <w:r w:rsidR="00F94177">
          <w:rPr>
            <w:noProof/>
            <w:webHidden/>
          </w:rPr>
          <w:tab/>
        </w:r>
        <w:r w:rsidR="00F94177">
          <w:rPr>
            <w:noProof/>
            <w:webHidden/>
          </w:rPr>
          <w:fldChar w:fldCharType="begin"/>
        </w:r>
        <w:r w:rsidR="00F94177">
          <w:rPr>
            <w:noProof/>
            <w:webHidden/>
          </w:rPr>
          <w:instrText xml:space="preserve"> PAGEREF _Toc162964614 \h </w:instrText>
        </w:r>
        <w:r w:rsidR="00F94177">
          <w:rPr>
            <w:noProof/>
            <w:webHidden/>
          </w:rPr>
        </w:r>
        <w:r w:rsidR="00F94177">
          <w:rPr>
            <w:noProof/>
            <w:webHidden/>
          </w:rPr>
          <w:fldChar w:fldCharType="separate"/>
        </w:r>
        <w:r w:rsidR="00F94177">
          <w:rPr>
            <w:noProof/>
            <w:webHidden/>
          </w:rPr>
          <w:t>6</w:t>
        </w:r>
        <w:r w:rsidR="00F94177">
          <w:rPr>
            <w:noProof/>
            <w:webHidden/>
          </w:rPr>
          <w:fldChar w:fldCharType="end"/>
        </w:r>
      </w:hyperlink>
    </w:p>
    <w:p w:rsidR="00F94177" w:rsidRDefault="00D2237B">
      <w:pPr>
        <w:pStyle w:val="Verzeichnis2"/>
        <w:rPr>
          <w:rFonts w:eastAsiaTheme="minorEastAsia"/>
          <w:noProof/>
          <w:sz w:val="22"/>
          <w:szCs w:val="22"/>
          <w:lang w:eastAsia="de-AT"/>
        </w:rPr>
      </w:pPr>
      <w:hyperlink w:anchor="_Toc162964615" w:history="1">
        <w:r w:rsidR="00F94177" w:rsidRPr="00815EF4">
          <w:rPr>
            <w:rStyle w:val="Hyperlink"/>
            <w:rFonts w:asciiTheme="majorHAnsi" w:hAnsiTheme="majorHAnsi"/>
            <w:noProof/>
          </w:rPr>
          <w:t>1.3 |</w:t>
        </w:r>
        <w:r w:rsidR="00F94177" w:rsidRPr="00815EF4">
          <w:rPr>
            <w:rStyle w:val="Hyperlink"/>
            <w:noProof/>
          </w:rPr>
          <w:t xml:space="preserve"> Preisbereinigte Umsatzentwicklung</w:t>
        </w:r>
        <w:r w:rsidR="00F94177">
          <w:rPr>
            <w:noProof/>
            <w:webHidden/>
          </w:rPr>
          <w:tab/>
        </w:r>
        <w:r w:rsidR="00F94177">
          <w:rPr>
            <w:noProof/>
            <w:webHidden/>
          </w:rPr>
          <w:fldChar w:fldCharType="begin"/>
        </w:r>
        <w:r w:rsidR="00F94177">
          <w:rPr>
            <w:noProof/>
            <w:webHidden/>
          </w:rPr>
          <w:instrText xml:space="preserve"> PAGEREF _Toc162964615 \h </w:instrText>
        </w:r>
        <w:r w:rsidR="00F94177">
          <w:rPr>
            <w:noProof/>
            <w:webHidden/>
          </w:rPr>
        </w:r>
        <w:r w:rsidR="00F94177">
          <w:rPr>
            <w:noProof/>
            <w:webHidden/>
          </w:rPr>
          <w:fldChar w:fldCharType="separate"/>
        </w:r>
        <w:r w:rsidR="00F94177">
          <w:rPr>
            <w:noProof/>
            <w:webHidden/>
          </w:rPr>
          <w:t>7</w:t>
        </w:r>
        <w:r w:rsidR="00F94177">
          <w:rPr>
            <w:noProof/>
            <w:webHidden/>
          </w:rPr>
          <w:fldChar w:fldCharType="end"/>
        </w:r>
      </w:hyperlink>
    </w:p>
    <w:p w:rsidR="00F94177" w:rsidRDefault="00D2237B">
      <w:pPr>
        <w:pStyle w:val="Verzeichnis2"/>
        <w:rPr>
          <w:rFonts w:eastAsiaTheme="minorEastAsia"/>
          <w:noProof/>
          <w:sz w:val="22"/>
          <w:szCs w:val="22"/>
          <w:lang w:eastAsia="de-AT"/>
        </w:rPr>
      </w:pPr>
      <w:hyperlink w:anchor="_Toc162964616" w:history="1">
        <w:r w:rsidR="00F94177" w:rsidRPr="00815EF4">
          <w:rPr>
            <w:rStyle w:val="Hyperlink"/>
            <w:rFonts w:asciiTheme="majorHAnsi" w:hAnsiTheme="majorHAnsi"/>
            <w:noProof/>
          </w:rPr>
          <w:t>1.4 |</w:t>
        </w:r>
        <w:r w:rsidR="00F94177" w:rsidRPr="00815EF4">
          <w:rPr>
            <w:rStyle w:val="Hyperlink"/>
            <w:noProof/>
          </w:rPr>
          <w:t xml:space="preserve"> Exportquote</w:t>
        </w:r>
        <w:r w:rsidR="00F94177">
          <w:rPr>
            <w:noProof/>
            <w:webHidden/>
          </w:rPr>
          <w:tab/>
        </w:r>
        <w:r w:rsidR="00F94177">
          <w:rPr>
            <w:noProof/>
            <w:webHidden/>
          </w:rPr>
          <w:fldChar w:fldCharType="begin"/>
        </w:r>
        <w:r w:rsidR="00F94177">
          <w:rPr>
            <w:noProof/>
            <w:webHidden/>
          </w:rPr>
          <w:instrText xml:space="preserve"> PAGEREF _Toc162964616 \h </w:instrText>
        </w:r>
        <w:r w:rsidR="00F94177">
          <w:rPr>
            <w:noProof/>
            <w:webHidden/>
          </w:rPr>
        </w:r>
        <w:r w:rsidR="00F94177">
          <w:rPr>
            <w:noProof/>
            <w:webHidden/>
          </w:rPr>
          <w:fldChar w:fldCharType="separate"/>
        </w:r>
        <w:r w:rsidR="00F94177">
          <w:rPr>
            <w:noProof/>
            <w:webHidden/>
          </w:rPr>
          <w:t>8</w:t>
        </w:r>
        <w:r w:rsidR="00F94177">
          <w:rPr>
            <w:noProof/>
            <w:webHidden/>
          </w:rPr>
          <w:fldChar w:fldCharType="end"/>
        </w:r>
      </w:hyperlink>
    </w:p>
    <w:p w:rsidR="00F94177" w:rsidRDefault="00D2237B">
      <w:pPr>
        <w:pStyle w:val="Verzeichnis2"/>
        <w:rPr>
          <w:rFonts w:eastAsiaTheme="minorEastAsia"/>
          <w:noProof/>
          <w:sz w:val="22"/>
          <w:szCs w:val="22"/>
          <w:lang w:eastAsia="de-AT"/>
        </w:rPr>
      </w:pPr>
      <w:hyperlink w:anchor="_Toc162964617" w:history="1">
        <w:r w:rsidR="00F94177" w:rsidRPr="00815EF4">
          <w:rPr>
            <w:rStyle w:val="Hyperlink"/>
            <w:rFonts w:asciiTheme="majorHAnsi" w:hAnsiTheme="majorHAnsi"/>
            <w:noProof/>
          </w:rPr>
          <w:t>1.5 |</w:t>
        </w:r>
        <w:r w:rsidR="00F94177" w:rsidRPr="00815EF4">
          <w:rPr>
            <w:rStyle w:val="Hyperlink"/>
            <w:noProof/>
          </w:rPr>
          <w:t xml:space="preserve"> Investitionen</w:t>
        </w:r>
        <w:r w:rsidR="00F94177">
          <w:rPr>
            <w:noProof/>
            <w:webHidden/>
          </w:rPr>
          <w:tab/>
        </w:r>
        <w:r w:rsidR="00F94177">
          <w:rPr>
            <w:noProof/>
            <w:webHidden/>
          </w:rPr>
          <w:fldChar w:fldCharType="begin"/>
        </w:r>
        <w:r w:rsidR="00F94177">
          <w:rPr>
            <w:noProof/>
            <w:webHidden/>
          </w:rPr>
          <w:instrText xml:space="preserve"> PAGEREF _Toc162964617 \h </w:instrText>
        </w:r>
        <w:r w:rsidR="00F94177">
          <w:rPr>
            <w:noProof/>
            <w:webHidden/>
          </w:rPr>
        </w:r>
        <w:r w:rsidR="00F94177">
          <w:rPr>
            <w:noProof/>
            <w:webHidden/>
          </w:rPr>
          <w:fldChar w:fldCharType="separate"/>
        </w:r>
        <w:r w:rsidR="00F94177">
          <w:rPr>
            <w:noProof/>
            <w:webHidden/>
          </w:rPr>
          <w:t>9</w:t>
        </w:r>
        <w:r w:rsidR="00F94177">
          <w:rPr>
            <w:noProof/>
            <w:webHidden/>
          </w:rPr>
          <w:fldChar w:fldCharType="end"/>
        </w:r>
      </w:hyperlink>
    </w:p>
    <w:p w:rsidR="00F94177" w:rsidRDefault="00D2237B">
      <w:pPr>
        <w:pStyle w:val="Verzeichnis1"/>
        <w:rPr>
          <w:rFonts w:eastAsiaTheme="minorEastAsia"/>
          <w:noProof/>
          <w:sz w:val="22"/>
          <w:szCs w:val="22"/>
          <w:lang w:eastAsia="de-AT"/>
        </w:rPr>
      </w:pPr>
      <w:hyperlink w:anchor="_Toc162964618" w:history="1">
        <w:r w:rsidR="00F94177" w:rsidRPr="00815EF4">
          <w:rPr>
            <w:rStyle w:val="Hyperlink"/>
            <w:rFonts w:asciiTheme="majorHAnsi" w:hAnsiTheme="majorHAnsi"/>
            <w:noProof/>
          </w:rPr>
          <w:t>2 |</w:t>
        </w:r>
        <w:r w:rsidR="00F94177" w:rsidRPr="00815EF4">
          <w:rPr>
            <w:rStyle w:val="Hyperlink"/>
            <w:noProof/>
          </w:rPr>
          <w:t xml:space="preserve"> Ausblick auf das Jahr 2024</w:t>
        </w:r>
        <w:r w:rsidR="00F94177">
          <w:rPr>
            <w:noProof/>
            <w:webHidden/>
          </w:rPr>
          <w:tab/>
        </w:r>
        <w:r w:rsidR="00F94177">
          <w:rPr>
            <w:noProof/>
            <w:webHidden/>
          </w:rPr>
          <w:fldChar w:fldCharType="begin"/>
        </w:r>
        <w:r w:rsidR="00F94177">
          <w:rPr>
            <w:noProof/>
            <w:webHidden/>
          </w:rPr>
          <w:instrText xml:space="preserve"> PAGEREF _Toc162964618 \h </w:instrText>
        </w:r>
        <w:r w:rsidR="00F94177">
          <w:rPr>
            <w:noProof/>
            <w:webHidden/>
          </w:rPr>
        </w:r>
        <w:r w:rsidR="00F94177">
          <w:rPr>
            <w:noProof/>
            <w:webHidden/>
          </w:rPr>
          <w:fldChar w:fldCharType="separate"/>
        </w:r>
        <w:r w:rsidR="00F94177">
          <w:rPr>
            <w:noProof/>
            <w:webHidden/>
          </w:rPr>
          <w:t>10</w:t>
        </w:r>
        <w:r w:rsidR="00F94177">
          <w:rPr>
            <w:noProof/>
            <w:webHidden/>
          </w:rPr>
          <w:fldChar w:fldCharType="end"/>
        </w:r>
      </w:hyperlink>
    </w:p>
    <w:p w:rsidR="00F94177" w:rsidRDefault="00D2237B">
      <w:pPr>
        <w:pStyle w:val="Verzeichnis2"/>
        <w:rPr>
          <w:rFonts w:eastAsiaTheme="minorEastAsia"/>
          <w:noProof/>
          <w:sz w:val="22"/>
          <w:szCs w:val="22"/>
          <w:lang w:eastAsia="de-AT"/>
        </w:rPr>
      </w:pPr>
      <w:hyperlink w:anchor="_Toc162964619" w:history="1">
        <w:r w:rsidR="00F94177" w:rsidRPr="00815EF4">
          <w:rPr>
            <w:rStyle w:val="Hyperlink"/>
            <w:rFonts w:asciiTheme="majorHAnsi" w:hAnsiTheme="majorHAnsi"/>
            <w:noProof/>
          </w:rPr>
          <w:t>2.1 |</w:t>
        </w:r>
        <w:r w:rsidR="00F94177" w:rsidRPr="00815EF4">
          <w:rPr>
            <w:rStyle w:val="Hyperlink"/>
            <w:noProof/>
          </w:rPr>
          <w:t xml:space="preserve"> Investitionsplanung</w:t>
        </w:r>
        <w:r w:rsidR="00F94177">
          <w:rPr>
            <w:noProof/>
            <w:webHidden/>
          </w:rPr>
          <w:tab/>
        </w:r>
        <w:r w:rsidR="00F94177">
          <w:rPr>
            <w:noProof/>
            <w:webHidden/>
          </w:rPr>
          <w:fldChar w:fldCharType="begin"/>
        </w:r>
        <w:r w:rsidR="00F94177">
          <w:rPr>
            <w:noProof/>
            <w:webHidden/>
          </w:rPr>
          <w:instrText xml:space="preserve"> PAGEREF _Toc162964619 \h </w:instrText>
        </w:r>
        <w:r w:rsidR="00F94177">
          <w:rPr>
            <w:noProof/>
            <w:webHidden/>
          </w:rPr>
        </w:r>
        <w:r w:rsidR="00F94177">
          <w:rPr>
            <w:noProof/>
            <w:webHidden/>
          </w:rPr>
          <w:fldChar w:fldCharType="separate"/>
        </w:r>
        <w:r w:rsidR="00F94177">
          <w:rPr>
            <w:noProof/>
            <w:webHidden/>
          </w:rPr>
          <w:t>10</w:t>
        </w:r>
        <w:r w:rsidR="00F94177">
          <w:rPr>
            <w:noProof/>
            <w:webHidden/>
          </w:rPr>
          <w:fldChar w:fldCharType="end"/>
        </w:r>
      </w:hyperlink>
    </w:p>
    <w:p w:rsidR="00F94177" w:rsidRDefault="00D2237B">
      <w:pPr>
        <w:pStyle w:val="Verzeichnis2"/>
        <w:rPr>
          <w:rFonts w:eastAsiaTheme="minorEastAsia"/>
          <w:noProof/>
          <w:sz w:val="22"/>
          <w:szCs w:val="22"/>
          <w:lang w:eastAsia="de-AT"/>
        </w:rPr>
      </w:pPr>
      <w:hyperlink w:anchor="_Toc162964620" w:history="1">
        <w:r w:rsidR="00F94177" w:rsidRPr="00815EF4">
          <w:rPr>
            <w:rStyle w:val="Hyperlink"/>
            <w:rFonts w:asciiTheme="majorHAnsi" w:hAnsiTheme="majorHAnsi"/>
            <w:noProof/>
          </w:rPr>
          <w:t>2.2 |</w:t>
        </w:r>
        <w:r w:rsidR="00F94177" w:rsidRPr="00815EF4">
          <w:rPr>
            <w:rStyle w:val="Hyperlink"/>
            <w:noProof/>
          </w:rPr>
          <w:t xml:space="preserve"> Herausforderungen</w:t>
        </w:r>
        <w:r w:rsidR="00F94177">
          <w:rPr>
            <w:noProof/>
            <w:webHidden/>
          </w:rPr>
          <w:tab/>
        </w:r>
        <w:r w:rsidR="00F94177">
          <w:rPr>
            <w:noProof/>
            <w:webHidden/>
          </w:rPr>
          <w:fldChar w:fldCharType="begin"/>
        </w:r>
        <w:r w:rsidR="00F94177">
          <w:rPr>
            <w:noProof/>
            <w:webHidden/>
          </w:rPr>
          <w:instrText xml:space="preserve"> PAGEREF _Toc162964620 \h </w:instrText>
        </w:r>
        <w:r w:rsidR="00F94177">
          <w:rPr>
            <w:noProof/>
            <w:webHidden/>
          </w:rPr>
        </w:r>
        <w:r w:rsidR="00F94177">
          <w:rPr>
            <w:noProof/>
            <w:webHidden/>
          </w:rPr>
          <w:fldChar w:fldCharType="separate"/>
        </w:r>
        <w:r w:rsidR="00F94177">
          <w:rPr>
            <w:noProof/>
            <w:webHidden/>
          </w:rPr>
          <w:t>10</w:t>
        </w:r>
        <w:r w:rsidR="00F94177">
          <w:rPr>
            <w:noProof/>
            <w:webHidden/>
          </w:rPr>
          <w:fldChar w:fldCharType="end"/>
        </w:r>
      </w:hyperlink>
    </w:p>
    <w:p w:rsidR="00F94177" w:rsidRDefault="00D2237B">
      <w:pPr>
        <w:pStyle w:val="Verzeichnis1"/>
        <w:rPr>
          <w:rFonts w:eastAsiaTheme="minorEastAsia"/>
          <w:noProof/>
          <w:sz w:val="22"/>
          <w:szCs w:val="22"/>
          <w:lang w:eastAsia="de-AT"/>
        </w:rPr>
      </w:pPr>
      <w:hyperlink w:anchor="_Toc162964621" w:history="1">
        <w:r w:rsidR="00F94177" w:rsidRPr="00815EF4">
          <w:rPr>
            <w:rStyle w:val="Hyperlink"/>
            <w:rFonts w:asciiTheme="majorHAnsi" w:hAnsiTheme="majorHAnsi"/>
            <w:noProof/>
          </w:rPr>
          <w:t>3 |</w:t>
        </w:r>
        <w:r w:rsidR="00F94177" w:rsidRPr="00815EF4">
          <w:rPr>
            <w:rStyle w:val="Hyperlink"/>
            <w:noProof/>
          </w:rPr>
          <w:t xml:space="preserve"> Geschäftslage im 1. Quartal 2024</w:t>
        </w:r>
        <w:r w:rsidR="00F94177">
          <w:rPr>
            <w:noProof/>
            <w:webHidden/>
          </w:rPr>
          <w:tab/>
        </w:r>
        <w:r w:rsidR="00F94177">
          <w:rPr>
            <w:noProof/>
            <w:webHidden/>
          </w:rPr>
          <w:fldChar w:fldCharType="begin"/>
        </w:r>
        <w:r w:rsidR="00F94177">
          <w:rPr>
            <w:noProof/>
            <w:webHidden/>
          </w:rPr>
          <w:instrText xml:space="preserve"> PAGEREF _Toc162964621 \h </w:instrText>
        </w:r>
        <w:r w:rsidR="00F94177">
          <w:rPr>
            <w:noProof/>
            <w:webHidden/>
          </w:rPr>
        </w:r>
        <w:r w:rsidR="00F94177">
          <w:rPr>
            <w:noProof/>
            <w:webHidden/>
          </w:rPr>
          <w:fldChar w:fldCharType="separate"/>
        </w:r>
        <w:r w:rsidR="00F94177">
          <w:rPr>
            <w:noProof/>
            <w:webHidden/>
          </w:rPr>
          <w:t>11</w:t>
        </w:r>
        <w:r w:rsidR="00F94177">
          <w:rPr>
            <w:noProof/>
            <w:webHidden/>
          </w:rPr>
          <w:fldChar w:fldCharType="end"/>
        </w:r>
      </w:hyperlink>
    </w:p>
    <w:p w:rsidR="00F94177" w:rsidRDefault="00D2237B">
      <w:pPr>
        <w:pStyle w:val="Verzeichnis2"/>
        <w:rPr>
          <w:rFonts w:eastAsiaTheme="minorEastAsia"/>
          <w:noProof/>
          <w:sz w:val="22"/>
          <w:szCs w:val="22"/>
          <w:lang w:eastAsia="de-AT"/>
        </w:rPr>
      </w:pPr>
      <w:hyperlink w:anchor="_Toc162964622" w:history="1">
        <w:r w:rsidR="00F94177" w:rsidRPr="00815EF4">
          <w:rPr>
            <w:rStyle w:val="Hyperlink"/>
            <w:rFonts w:asciiTheme="majorHAnsi" w:hAnsiTheme="majorHAnsi"/>
            <w:noProof/>
          </w:rPr>
          <w:t>3.1 |</w:t>
        </w:r>
        <w:r w:rsidR="00F94177" w:rsidRPr="00815EF4">
          <w:rPr>
            <w:rStyle w:val="Hyperlink"/>
            <w:noProof/>
          </w:rPr>
          <w:t xml:space="preserve"> Beurteilung der Geschäftslage</w:t>
        </w:r>
        <w:r w:rsidR="00F94177">
          <w:rPr>
            <w:noProof/>
            <w:webHidden/>
          </w:rPr>
          <w:tab/>
        </w:r>
        <w:r w:rsidR="00F94177">
          <w:rPr>
            <w:noProof/>
            <w:webHidden/>
          </w:rPr>
          <w:fldChar w:fldCharType="begin"/>
        </w:r>
        <w:r w:rsidR="00F94177">
          <w:rPr>
            <w:noProof/>
            <w:webHidden/>
          </w:rPr>
          <w:instrText xml:space="preserve"> PAGEREF _Toc162964622 \h </w:instrText>
        </w:r>
        <w:r w:rsidR="00F94177">
          <w:rPr>
            <w:noProof/>
            <w:webHidden/>
          </w:rPr>
        </w:r>
        <w:r w:rsidR="00F94177">
          <w:rPr>
            <w:noProof/>
            <w:webHidden/>
          </w:rPr>
          <w:fldChar w:fldCharType="separate"/>
        </w:r>
        <w:r w:rsidR="00F94177">
          <w:rPr>
            <w:noProof/>
            <w:webHidden/>
          </w:rPr>
          <w:t>11</w:t>
        </w:r>
        <w:r w:rsidR="00F94177">
          <w:rPr>
            <w:noProof/>
            <w:webHidden/>
          </w:rPr>
          <w:fldChar w:fldCharType="end"/>
        </w:r>
      </w:hyperlink>
    </w:p>
    <w:p w:rsidR="00F94177" w:rsidRDefault="00D2237B">
      <w:pPr>
        <w:pStyle w:val="Verzeichnis2"/>
        <w:rPr>
          <w:rFonts w:eastAsiaTheme="minorEastAsia"/>
          <w:noProof/>
          <w:sz w:val="22"/>
          <w:szCs w:val="22"/>
          <w:lang w:eastAsia="de-AT"/>
        </w:rPr>
      </w:pPr>
      <w:hyperlink w:anchor="_Toc162964623" w:history="1">
        <w:r w:rsidR="00F94177" w:rsidRPr="00815EF4">
          <w:rPr>
            <w:rStyle w:val="Hyperlink"/>
            <w:rFonts w:asciiTheme="majorHAnsi" w:hAnsiTheme="majorHAnsi"/>
            <w:noProof/>
          </w:rPr>
          <w:t>3.2 |</w:t>
        </w:r>
        <w:r w:rsidR="00F94177" w:rsidRPr="00815EF4">
          <w:rPr>
            <w:rStyle w:val="Hyperlink"/>
            <w:noProof/>
          </w:rPr>
          <w:t xml:space="preserve"> Auftragsbestand der investitionsgüternahen Branchen</w:t>
        </w:r>
        <w:r w:rsidR="00F94177">
          <w:rPr>
            <w:noProof/>
            <w:webHidden/>
          </w:rPr>
          <w:tab/>
        </w:r>
        <w:r w:rsidR="00F94177">
          <w:rPr>
            <w:noProof/>
            <w:webHidden/>
          </w:rPr>
          <w:fldChar w:fldCharType="begin"/>
        </w:r>
        <w:r w:rsidR="00F94177">
          <w:rPr>
            <w:noProof/>
            <w:webHidden/>
          </w:rPr>
          <w:instrText xml:space="preserve"> PAGEREF _Toc162964623 \h </w:instrText>
        </w:r>
        <w:r w:rsidR="00F94177">
          <w:rPr>
            <w:noProof/>
            <w:webHidden/>
          </w:rPr>
        </w:r>
        <w:r w:rsidR="00F94177">
          <w:rPr>
            <w:noProof/>
            <w:webHidden/>
          </w:rPr>
          <w:fldChar w:fldCharType="separate"/>
        </w:r>
        <w:r w:rsidR="00F94177">
          <w:rPr>
            <w:noProof/>
            <w:webHidden/>
          </w:rPr>
          <w:t>12</w:t>
        </w:r>
        <w:r w:rsidR="00F94177">
          <w:rPr>
            <w:noProof/>
            <w:webHidden/>
          </w:rPr>
          <w:fldChar w:fldCharType="end"/>
        </w:r>
      </w:hyperlink>
    </w:p>
    <w:p w:rsidR="00F94177" w:rsidRDefault="00D2237B">
      <w:pPr>
        <w:pStyle w:val="Verzeichnis2"/>
        <w:rPr>
          <w:rFonts w:eastAsiaTheme="minorEastAsia"/>
          <w:noProof/>
          <w:sz w:val="22"/>
          <w:szCs w:val="22"/>
          <w:lang w:eastAsia="de-AT"/>
        </w:rPr>
      </w:pPr>
      <w:hyperlink w:anchor="_Toc162964624" w:history="1">
        <w:r w:rsidR="00F94177" w:rsidRPr="00815EF4">
          <w:rPr>
            <w:rStyle w:val="Hyperlink"/>
            <w:rFonts w:asciiTheme="majorHAnsi" w:hAnsiTheme="majorHAnsi"/>
            <w:noProof/>
          </w:rPr>
          <w:t>3.3 |</w:t>
        </w:r>
        <w:r w:rsidR="00F94177" w:rsidRPr="00815EF4">
          <w:rPr>
            <w:rStyle w:val="Hyperlink"/>
            <w:noProof/>
          </w:rPr>
          <w:t xml:space="preserve"> Umsatzentwicklung der konsumnahen Branchen</w:t>
        </w:r>
        <w:r w:rsidR="00F94177">
          <w:rPr>
            <w:noProof/>
            <w:webHidden/>
          </w:rPr>
          <w:tab/>
        </w:r>
        <w:r w:rsidR="00F94177">
          <w:rPr>
            <w:noProof/>
            <w:webHidden/>
          </w:rPr>
          <w:fldChar w:fldCharType="begin"/>
        </w:r>
        <w:r w:rsidR="00F94177">
          <w:rPr>
            <w:noProof/>
            <w:webHidden/>
          </w:rPr>
          <w:instrText xml:space="preserve"> PAGEREF _Toc162964624 \h </w:instrText>
        </w:r>
        <w:r w:rsidR="00F94177">
          <w:rPr>
            <w:noProof/>
            <w:webHidden/>
          </w:rPr>
        </w:r>
        <w:r w:rsidR="00F94177">
          <w:rPr>
            <w:noProof/>
            <w:webHidden/>
          </w:rPr>
          <w:fldChar w:fldCharType="separate"/>
        </w:r>
        <w:r w:rsidR="00F94177">
          <w:rPr>
            <w:noProof/>
            <w:webHidden/>
          </w:rPr>
          <w:t>14</w:t>
        </w:r>
        <w:r w:rsidR="00F94177">
          <w:rPr>
            <w:noProof/>
            <w:webHidden/>
          </w:rPr>
          <w:fldChar w:fldCharType="end"/>
        </w:r>
      </w:hyperlink>
    </w:p>
    <w:p w:rsidR="00F94177" w:rsidRDefault="00D2237B">
      <w:pPr>
        <w:pStyle w:val="Verzeichnis1"/>
        <w:rPr>
          <w:rFonts w:eastAsiaTheme="minorEastAsia"/>
          <w:noProof/>
          <w:sz w:val="22"/>
          <w:szCs w:val="22"/>
          <w:lang w:eastAsia="de-AT"/>
        </w:rPr>
      </w:pPr>
      <w:hyperlink w:anchor="_Toc162964625" w:history="1">
        <w:r w:rsidR="00F94177" w:rsidRPr="00815EF4">
          <w:rPr>
            <w:rStyle w:val="Hyperlink"/>
            <w:rFonts w:asciiTheme="majorHAnsi" w:hAnsiTheme="majorHAnsi"/>
            <w:noProof/>
          </w:rPr>
          <w:t>4 |</w:t>
        </w:r>
        <w:r w:rsidR="00F94177" w:rsidRPr="00815EF4">
          <w:rPr>
            <w:rStyle w:val="Hyperlink"/>
            <w:noProof/>
          </w:rPr>
          <w:t xml:space="preserve"> Erwartungen für das 2. Quartal 2024</w:t>
        </w:r>
        <w:r w:rsidR="00F94177">
          <w:rPr>
            <w:noProof/>
            <w:webHidden/>
          </w:rPr>
          <w:tab/>
        </w:r>
        <w:r w:rsidR="00F94177">
          <w:rPr>
            <w:noProof/>
            <w:webHidden/>
          </w:rPr>
          <w:fldChar w:fldCharType="begin"/>
        </w:r>
        <w:r w:rsidR="00F94177">
          <w:rPr>
            <w:noProof/>
            <w:webHidden/>
          </w:rPr>
          <w:instrText xml:space="preserve"> PAGEREF _Toc162964625 \h </w:instrText>
        </w:r>
        <w:r w:rsidR="00F94177">
          <w:rPr>
            <w:noProof/>
            <w:webHidden/>
          </w:rPr>
        </w:r>
        <w:r w:rsidR="00F94177">
          <w:rPr>
            <w:noProof/>
            <w:webHidden/>
          </w:rPr>
          <w:fldChar w:fldCharType="separate"/>
        </w:r>
        <w:r w:rsidR="00F94177">
          <w:rPr>
            <w:noProof/>
            <w:webHidden/>
          </w:rPr>
          <w:t>15</w:t>
        </w:r>
        <w:r w:rsidR="00F94177">
          <w:rPr>
            <w:noProof/>
            <w:webHidden/>
          </w:rPr>
          <w:fldChar w:fldCharType="end"/>
        </w:r>
      </w:hyperlink>
    </w:p>
    <w:p w:rsidR="00F94177" w:rsidRDefault="00D2237B">
      <w:pPr>
        <w:pStyle w:val="Verzeichnis2"/>
        <w:rPr>
          <w:rFonts w:eastAsiaTheme="minorEastAsia"/>
          <w:noProof/>
          <w:sz w:val="22"/>
          <w:szCs w:val="22"/>
          <w:lang w:eastAsia="de-AT"/>
        </w:rPr>
      </w:pPr>
      <w:hyperlink w:anchor="_Toc162964626" w:history="1">
        <w:r w:rsidR="00F94177" w:rsidRPr="00815EF4">
          <w:rPr>
            <w:rStyle w:val="Hyperlink"/>
            <w:rFonts w:asciiTheme="majorHAnsi" w:hAnsiTheme="majorHAnsi"/>
            <w:noProof/>
          </w:rPr>
          <w:t>4.1 |</w:t>
        </w:r>
        <w:r w:rsidR="00F94177" w:rsidRPr="00815EF4">
          <w:rPr>
            <w:rStyle w:val="Hyperlink"/>
            <w:noProof/>
          </w:rPr>
          <w:t xml:space="preserve"> Auftragseingangs-/Umsatzerwartungen</w:t>
        </w:r>
        <w:r w:rsidR="00F94177">
          <w:rPr>
            <w:noProof/>
            <w:webHidden/>
          </w:rPr>
          <w:tab/>
        </w:r>
        <w:r w:rsidR="00F94177">
          <w:rPr>
            <w:noProof/>
            <w:webHidden/>
          </w:rPr>
          <w:fldChar w:fldCharType="begin"/>
        </w:r>
        <w:r w:rsidR="00F94177">
          <w:rPr>
            <w:noProof/>
            <w:webHidden/>
          </w:rPr>
          <w:instrText xml:space="preserve"> PAGEREF _Toc162964626 \h </w:instrText>
        </w:r>
        <w:r w:rsidR="00F94177">
          <w:rPr>
            <w:noProof/>
            <w:webHidden/>
          </w:rPr>
        </w:r>
        <w:r w:rsidR="00F94177">
          <w:rPr>
            <w:noProof/>
            <w:webHidden/>
          </w:rPr>
          <w:fldChar w:fldCharType="separate"/>
        </w:r>
        <w:r w:rsidR="00F94177">
          <w:rPr>
            <w:noProof/>
            <w:webHidden/>
          </w:rPr>
          <w:t>15</w:t>
        </w:r>
        <w:r w:rsidR="00F94177">
          <w:rPr>
            <w:noProof/>
            <w:webHidden/>
          </w:rPr>
          <w:fldChar w:fldCharType="end"/>
        </w:r>
      </w:hyperlink>
    </w:p>
    <w:p w:rsidR="00F94177" w:rsidRDefault="00D2237B">
      <w:pPr>
        <w:pStyle w:val="Verzeichnis2"/>
        <w:rPr>
          <w:rFonts w:eastAsiaTheme="minorEastAsia"/>
          <w:noProof/>
          <w:sz w:val="22"/>
          <w:szCs w:val="22"/>
          <w:lang w:eastAsia="de-AT"/>
        </w:rPr>
      </w:pPr>
      <w:hyperlink w:anchor="_Toc162964627" w:history="1">
        <w:r w:rsidR="00F94177" w:rsidRPr="00815EF4">
          <w:rPr>
            <w:rStyle w:val="Hyperlink"/>
            <w:rFonts w:asciiTheme="majorHAnsi" w:hAnsiTheme="majorHAnsi"/>
            <w:noProof/>
          </w:rPr>
          <w:t>4.2 |</w:t>
        </w:r>
        <w:r w:rsidR="00F94177" w:rsidRPr="00815EF4">
          <w:rPr>
            <w:rStyle w:val="Hyperlink"/>
            <w:noProof/>
          </w:rPr>
          <w:t xml:space="preserve"> Personalplanung</w:t>
        </w:r>
        <w:r w:rsidR="00F94177">
          <w:rPr>
            <w:noProof/>
            <w:webHidden/>
          </w:rPr>
          <w:tab/>
        </w:r>
        <w:r w:rsidR="00F94177">
          <w:rPr>
            <w:noProof/>
            <w:webHidden/>
          </w:rPr>
          <w:fldChar w:fldCharType="begin"/>
        </w:r>
        <w:r w:rsidR="00F94177">
          <w:rPr>
            <w:noProof/>
            <w:webHidden/>
          </w:rPr>
          <w:instrText xml:space="preserve"> PAGEREF _Toc162964627 \h </w:instrText>
        </w:r>
        <w:r w:rsidR="00F94177">
          <w:rPr>
            <w:noProof/>
            <w:webHidden/>
          </w:rPr>
        </w:r>
        <w:r w:rsidR="00F94177">
          <w:rPr>
            <w:noProof/>
            <w:webHidden/>
          </w:rPr>
          <w:fldChar w:fldCharType="separate"/>
        </w:r>
        <w:r w:rsidR="00F94177">
          <w:rPr>
            <w:noProof/>
            <w:webHidden/>
          </w:rPr>
          <w:t>17</w:t>
        </w:r>
        <w:r w:rsidR="00F94177">
          <w:rPr>
            <w:noProof/>
            <w:webHidden/>
          </w:rPr>
          <w:fldChar w:fldCharType="end"/>
        </w:r>
      </w:hyperlink>
    </w:p>
    <w:p w:rsidR="00F94177" w:rsidRDefault="00D2237B">
      <w:pPr>
        <w:pStyle w:val="Verzeichnis1"/>
        <w:rPr>
          <w:rFonts w:eastAsiaTheme="minorEastAsia"/>
          <w:noProof/>
          <w:sz w:val="22"/>
          <w:szCs w:val="22"/>
          <w:lang w:eastAsia="de-AT"/>
        </w:rPr>
      </w:pPr>
      <w:hyperlink w:anchor="_Toc162964628" w:history="1">
        <w:r w:rsidR="00F94177" w:rsidRPr="00815EF4">
          <w:rPr>
            <w:rStyle w:val="Hyperlink"/>
            <w:rFonts w:asciiTheme="majorHAnsi" w:hAnsiTheme="majorHAnsi"/>
            <w:noProof/>
          </w:rPr>
          <w:t>5 |</w:t>
        </w:r>
        <w:r w:rsidR="00F94177" w:rsidRPr="00815EF4">
          <w:rPr>
            <w:rStyle w:val="Hyperlink"/>
            <w:noProof/>
          </w:rPr>
          <w:t xml:space="preserve"> Methodik</w:t>
        </w:r>
        <w:r w:rsidR="00F94177">
          <w:rPr>
            <w:noProof/>
            <w:webHidden/>
          </w:rPr>
          <w:tab/>
        </w:r>
        <w:r w:rsidR="00F94177">
          <w:rPr>
            <w:noProof/>
            <w:webHidden/>
          </w:rPr>
          <w:fldChar w:fldCharType="begin"/>
        </w:r>
        <w:r w:rsidR="00F94177">
          <w:rPr>
            <w:noProof/>
            <w:webHidden/>
          </w:rPr>
          <w:instrText xml:space="preserve"> PAGEREF _Toc162964628 \h </w:instrText>
        </w:r>
        <w:r w:rsidR="00F94177">
          <w:rPr>
            <w:noProof/>
            <w:webHidden/>
          </w:rPr>
        </w:r>
        <w:r w:rsidR="00F94177">
          <w:rPr>
            <w:noProof/>
            <w:webHidden/>
          </w:rPr>
          <w:fldChar w:fldCharType="separate"/>
        </w:r>
        <w:r w:rsidR="00F94177">
          <w:rPr>
            <w:noProof/>
            <w:webHidden/>
          </w:rPr>
          <w:t>18</w:t>
        </w:r>
        <w:r w:rsidR="00F94177">
          <w:rPr>
            <w:noProof/>
            <w:webHidden/>
          </w:rPr>
          <w:fldChar w:fldCharType="end"/>
        </w:r>
      </w:hyperlink>
    </w:p>
    <w:p w:rsidR="002C53F4" w:rsidRDefault="00511091" w:rsidP="0082507E">
      <w:r>
        <w:fldChar w:fldCharType="end"/>
      </w:r>
    </w:p>
    <w:p w:rsidR="00ED7317" w:rsidRPr="001D5E02" w:rsidRDefault="00ED7317" w:rsidP="001D5E02">
      <w:pPr>
        <w:pStyle w:val="berschrift1"/>
      </w:pPr>
      <w:bookmarkStart w:id="14" w:name="_Toc83113302"/>
      <w:bookmarkStart w:id="15" w:name="_Toc122012095"/>
      <w:bookmarkStart w:id="16" w:name="_Toc162964612"/>
      <w:bookmarkStart w:id="17" w:name="Jahr"/>
      <w:r w:rsidRPr="001D5E02">
        <w:lastRenderedPageBreak/>
        <w:t xml:space="preserve">Entwicklung im Gesamtjahr </w:t>
      </w:r>
      <w:bookmarkEnd w:id="14"/>
      <w:r w:rsidR="00943E0A">
        <w:t>2023</w:t>
      </w:r>
      <w:bookmarkEnd w:id="15"/>
      <w:bookmarkEnd w:id="16"/>
    </w:p>
    <w:p w:rsidR="00ED7317" w:rsidRPr="001D5E02" w:rsidRDefault="00ED7317" w:rsidP="001D5E02">
      <w:pPr>
        <w:pStyle w:val="berschrift2"/>
      </w:pPr>
      <w:bookmarkStart w:id="18" w:name="_Toc83113303"/>
      <w:bookmarkStart w:id="19" w:name="_Toc122012096"/>
      <w:bookmarkStart w:id="20" w:name="_Toc162964613"/>
      <w:r w:rsidRPr="001D5E02">
        <w:t>Nominelle Umsatzentwicklung</w:t>
      </w:r>
      <w:bookmarkEnd w:id="18"/>
      <w:bookmarkEnd w:id="19"/>
      <w:bookmarkEnd w:id="20"/>
    </w:p>
    <w:p w:rsidR="00943E0A" w:rsidRDefault="00943E0A" w:rsidP="00943E0A">
      <w:pPr>
        <w:pStyle w:val="Listenabsatz"/>
        <w:numPr>
          <w:ilvl w:val="0"/>
          <w:numId w:val="7"/>
        </w:numPr>
      </w:pPr>
      <w:r>
        <w:t>36 % der Betriebe meldeten für 2023 Umsatzsteigerungen geg</w:t>
      </w:r>
      <w:r w:rsidR="00F94177">
        <w:t>enüber 2022 um durchschnittlich </w:t>
      </w:r>
      <w:r>
        <w:t>12,2 %,</w:t>
      </w:r>
    </w:p>
    <w:p w:rsidR="00943E0A" w:rsidRDefault="00943E0A" w:rsidP="00943E0A">
      <w:pPr>
        <w:pStyle w:val="Listenabsatz"/>
        <w:numPr>
          <w:ilvl w:val="0"/>
          <w:numId w:val="7"/>
        </w:numPr>
      </w:pPr>
      <w:r>
        <w:t>bei 39 % der Betriebe blieb der Umsatz auf Vorjahresniveau und</w:t>
      </w:r>
    </w:p>
    <w:p w:rsidR="00ED7317" w:rsidRDefault="00943E0A" w:rsidP="00370341">
      <w:pPr>
        <w:pStyle w:val="Listenabsatz"/>
        <w:numPr>
          <w:ilvl w:val="0"/>
          <w:numId w:val="7"/>
        </w:numPr>
      </w:pPr>
      <w:r>
        <w:t>25 % der Betriebe verzeichneten Umsatzrückgänge um durchschnittlich 14,4 %.</w:t>
      </w:r>
    </w:p>
    <w:p w:rsidR="00ED7317" w:rsidRPr="00493F95" w:rsidRDefault="00943E0A" w:rsidP="00ED7317">
      <w:r w:rsidRPr="00493F95">
        <w:t>Gegenüber dem Vorjahr ergibt sich im österreichischen Gewerbe und Handwerk daraus insgesamt eine Erhöhung des nominellen Umsatzes um 1,2 %</w:t>
      </w:r>
      <w:r w:rsidR="00ED7317" w:rsidRPr="00493F95">
        <w:t xml:space="preserve"> auf rd. </w:t>
      </w:r>
      <w:r w:rsidRPr="00493F95">
        <w:t>€ 129,7 Mrd</w:t>
      </w:r>
      <w:r w:rsidR="00ED7317" w:rsidRPr="00493F95">
        <w:t xml:space="preserve"> (netto).</w:t>
      </w:r>
      <w:r w:rsidR="00ED7317" w:rsidRPr="00493F95">
        <w:rPr>
          <w:rStyle w:val="Funotenzeichen"/>
        </w:rPr>
        <w:footnoteReference w:id="2"/>
      </w:r>
      <w:r w:rsidR="00ED7317" w:rsidRPr="00493F95">
        <w:t xml:space="preserve"> </w:t>
      </w:r>
      <w:r w:rsidR="000A5E7C">
        <w:t>D</w:t>
      </w:r>
      <w:r w:rsidR="000A5E7C" w:rsidRPr="00493F95">
        <w:t xml:space="preserve">as Wachstum ist </w:t>
      </w:r>
      <w:r w:rsidR="000A5E7C">
        <w:t>d</w:t>
      </w:r>
      <w:r w:rsidRPr="00493F95">
        <w:t xml:space="preserve">amit </w:t>
      </w:r>
      <w:r w:rsidR="00493F95" w:rsidRPr="00493F95">
        <w:t>deutlich geringer aus</w:t>
      </w:r>
      <w:r w:rsidR="00161A4A">
        <w:t>gefallen als im Vorjahr</w:t>
      </w:r>
      <w:r w:rsidRPr="00493F95">
        <w:t>.</w:t>
      </w:r>
    </w:p>
    <w:p w:rsidR="00ED7317" w:rsidRDefault="00943E0A" w:rsidP="00ED7317">
      <w:r w:rsidRPr="00493F95">
        <w:t>Im Vergleich dazu ist die gesamte Wirtschaftsleistung Österreichs (das Bruttoinlandsprodukt) nominell um 6,7 % gestiegen.</w:t>
      </w:r>
    </w:p>
    <w:p w:rsidR="00ED7317" w:rsidRPr="009F089D" w:rsidRDefault="009F089D" w:rsidP="009F089D">
      <w:pPr>
        <w:pStyle w:val="Beschriftung"/>
      </w:pPr>
      <w:bookmarkStart w:id="21" w:name="_Toc529980761"/>
      <w:bookmarkStart w:id="22" w:name="_Toc121745602"/>
      <w:r w:rsidRPr="009F089D">
        <w:t xml:space="preserve">Abb. </w:t>
      </w:r>
      <w:fldSimple w:instr=" SEQ Abb. \* ARABIC ">
        <w:r w:rsidR="00943E0A">
          <w:rPr>
            <w:noProof/>
          </w:rPr>
          <w:t>1</w:t>
        </w:r>
      </w:fldSimple>
      <w:r w:rsidRPr="009F089D">
        <w:t xml:space="preserve"> |</w:t>
      </w:r>
      <w:r w:rsidRPr="009F089D">
        <w:tab/>
      </w:r>
      <w:r w:rsidR="00ED7317" w:rsidRPr="009F089D">
        <w:t>Nominelle Entwicklung des Umsatzes bzw. des Bruttoinlandsprodukts</w:t>
      </w:r>
      <w:bookmarkEnd w:id="21"/>
      <w:bookmarkEnd w:id="22"/>
    </w:p>
    <w:p w:rsidR="00ED7317" w:rsidRDefault="009F089D" w:rsidP="009F089D">
      <w:pPr>
        <w:pStyle w:val="Beschriftung"/>
      </w:pPr>
      <w:r>
        <w:tab/>
      </w:r>
      <w:r w:rsidR="00ED7317">
        <w:t>Veränderung gegenüber dem Vorjahr in</w:t>
      </w:r>
      <w:r w:rsidR="00943E0A">
        <w:t> %</w:t>
      </w:r>
    </w:p>
    <w:p w:rsidR="00ED7317" w:rsidRDefault="008F0253" w:rsidP="00ED7317">
      <w:r>
        <w:object w:dxaOrig="9526" w:dyaOrig="4245">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74pt;height:210pt" o:ole="">
            <v:imagedata r:id="rId28" o:title=""/>
          </v:shape>
          <o:OLEObject Type="Link" ProgID="Excel.Sheet.12" ShapeID="_x0000_i1025" DrawAspect="Content" r:id="rId29" UpdateMode="OnCall">
            <o:LinkType>EnhancedMetaFile</o:LinkType>
            <o:LockedField>false</o:LockedField>
          </o:OLEObject>
        </w:object>
      </w:r>
    </w:p>
    <w:p w:rsidR="00ED7317" w:rsidRPr="009F089D" w:rsidRDefault="00ED7317" w:rsidP="009F089D">
      <w:pPr>
        <w:pStyle w:val="Quelle"/>
      </w:pPr>
      <w:r w:rsidRPr="00493F95">
        <w:t>Auf Grund der Miteinbeziehung von zusätzlichen Branchen in den Gesamtdurchschnitt sind die Werte ab 2020 mit jenen der Vorjahre nur bedingt vergleichbar bzw. mit Vorsicht zu interpretieren.</w:t>
      </w:r>
    </w:p>
    <w:p w:rsidR="00ED7317" w:rsidRDefault="00ED7317" w:rsidP="009F089D">
      <w:pPr>
        <w:pStyle w:val="Quelle"/>
      </w:pPr>
      <w:r w:rsidRPr="009F089D">
        <w:t>Quelle: KMU Forschung Austria, Statistik Austria</w:t>
      </w:r>
    </w:p>
    <w:p w:rsidR="001D5E02" w:rsidRDefault="001D5E02">
      <w:pPr>
        <w:spacing w:after="0"/>
        <w:jc w:val="left"/>
      </w:pPr>
      <w:r>
        <w:br w:type="page"/>
      </w:r>
    </w:p>
    <w:p w:rsidR="00ED7317" w:rsidRPr="001D5E02" w:rsidRDefault="00ED7317" w:rsidP="001D5E02">
      <w:pPr>
        <w:pStyle w:val="berschrift2"/>
      </w:pPr>
      <w:bookmarkStart w:id="23" w:name="_Toc83113304"/>
      <w:bookmarkStart w:id="24" w:name="_Toc122012097"/>
      <w:bookmarkStart w:id="25" w:name="_Toc162964614"/>
      <w:r w:rsidRPr="001D5E02">
        <w:lastRenderedPageBreak/>
        <w:t>Preisentwicklung</w:t>
      </w:r>
      <w:bookmarkEnd w:id="23"/>
      <w:bookmarkEnd w:id="24"/>
      <w:bookmarkEnd w:id="25"/>
    </w:p>
    <w:p w:rsidR="00ED7317" w:rsidRDefault="00943E0A" w:rsidP="00D35D8C">
      <w:pPr>
        <w:pStyle w:val="Listenabsatz"/>
        <w:numPr>
          <w:ilvl w:val="0"/>
          <w:numId w:val="8"/>
        </w:numPr>
      </w:pPr>
      <w:r>
        <w:t>76 % der Betriebe konnten bzw. mussten die Verkaufspreise 2023 verglichen mit 2022 um durchschnittlich 8,7 % erhöhen,</w:t>
      </w:r>
    </w:p>
    <w:p w:rsidR="00ED7317" w:rsidRDefault="00943E0A" w:rsidP="00D35D8C">
      <w:pPr>
        <w:pStyle w:val="Listenabsatz"/>
        <w:numPr>
          <w:ilvl w:val="0"/>
          <w:numId w:val="8"/>
        </w:numPr>
      </w:pPr>
      <w:r>
        <w:t>bei 22 % der Betriebe blieben die Preise konstant und</w:t>
      </w:r>
    </w:p>
    <w:p w:rsidR="00ED7317" w:rsidRDefault="00943E0A" w:rsidP="00D35D8C">
      <w:pPr>
        <w:pStyle w:val="Listenabsatz"/>
        <w:numPr>
          <w:ilvl w:val="0"/>
          <w:numId w:val="8"/>
        </w:numPr>
      </w:pPr>
      <w:r>
        <w:t>2 % der Betriebe mussten die Verkaufspreise um durchschnittlich 11,6 % reduzieren.</w:t>
      </w:r>
    </w:p>
    <w:p w:rsidR="00ED7317" w:rsidRDefault="00943E0A" w:rsidP="00ED7317">
      <w:r>
        <w:t>Im Gewerbe und Handwerk in Österreich wurden damit die Verkaufspreise 2023 um 6,8 % erhöht.</w:t>
      </w:r>
      <w:r w:rsidR="00ED7317">
        <w:t xml:space="preserve"> </w:t>
      </w:r>
      <w:r>
        <w:t>Die Verbraucherpreise insgesamt stiegen 2023 um 7,8 % (Inflationsrate).</w:t>
      </w:r>
    </w:p>
    <w:p w:rsidR="00ED7317" w:rsidRDefault="009F089D" w:rsidP="009F089D">
      <w:pPr>
        <w:pStyle w:val="Beschriftung"/>
      </w:pPr>
      <w:bookmarkStart w:id="26" w:name="_Toc529980762"/>
      <w:bookmarkStart w:id="27" w:name="_Toc121745603"/>
      <w:r>
        <w:t xml:space="preserve">Abb. </w:t>
      </w:r>
      <w:fldSimple w:instr=" SEQ Abb. \* ARABIC ">
        <w:r w:rsidR="00943E0A">
          <w:rPr>
            <w:noProof/>
          </w:rPr>
          <w:t>2</w:t>
        </w:r>
      </w:fldSimple>
      <w:r>
        <w:t xml:space="preserve"> |</w:t>
      </w:r>
      <w:r>
        <w:tab/>
      </w:r>
      <w:r w:rsidR="00ED7317">
        <w:t>Preisentwicklung</w:t>
      </w:r>
      <w:bookmarkEnd w:id="26"/>
      <w:bookmarkEnd w:id="27"/>
    </w:p>
    <w:p w:rsidR="00ED7317" w:rsidRDefault="009F089D" w:rsidP="009F089D">
      <w:pPr>
        <w:pStyle w:val="Beschriftung"/>
      </w:pPr>
      <w:r>
        <w:tab/>
      </w:r>
      <w:r w:rsidR="00ED7317">
        <w:t>Veränderung gegenüber dem Vorjahr in</w:t>
      </w:r>
      <w:r w:rsidR="00943E0A">
        <w:t> %</w:t>
      </w:r>
    </w:p>
    <w:p w:rsidR="00ED7317" w:rsidRDefault="008F0253" w:rsidP="00ED7317">
      <w:r>
        <w:object w:dxaOrig="9526" w:dyaOrig="4245">
          <v:shape id="_x0000_i1026" type="#_x0000_t75" style="width:474pt;height:210pt" o:ole="">
            <v:imagedata r:id="rId30" o:title=""/>
          </v:shape>
          <o:OLEObject Type="Link" ProgID="Excel.Sheet.12" ShapeID="_x0000_i1026" DrawAspect="Content" r:id="rId31" UpdateMode="OnCall">
            <o:LinkType>EnhancedMetaFile</o:LinkType>
            <o:LockedField>false</o:LockedField>
          </o:OLEObject>
        </w:object>
      </w:r>
    </w:p>
    <w:p w:rsidR="00ED7317" w:rsidRPr="00493F95" w:rsidRDefault="00ED7317" w:rsidP="00ED7317">
      <w:pPr>
        <w:pStyle w:val="Quelle"/>
      </w:pPr>
      <w:r w:rsidRPr="00493F95">
        <w:t>Auf Grund der Miteinbeziehung von zusätzlichen Branchen in den Gesamtdurchschnitt sind die Werte ab 2020 mit jenen der Vorjahre nur bedingt vergleichbar bzw. mit Vorsicht zu interpretieren.</w:t>
      </w:r>
    </w:p>
    <w:p w:rsidR="00ED7317" w:rsidRDefault="00ED7317" w:rsidP="00ED7317">
      <w:pPr>
        <w:pStyle w:val="Quelle"/>
      </w:pPr>
      <w:r w:rsidRPr="00493F95">
        <w:t>Quellen: KMU Forschung Austria, Statistik Austria</w:t>
      </w:r>
    </w:p>
    <w:p w:rsidR="001D5E02" w:rsidRDefault="001D5E02">
      <w:pPr>
        <w:spacing w:after="0"/>
        <w:jc w:val="left"/>
      </w:pPr>
      <w:r>
        <w:br w:type="page"/>
      </w:r>
    </w:p>
    <w:p w:rsidR="00ED7317" w:rsidRPr="001D5E02" w:rsidRDefault="00ED7317" w:rsidP="001D5E02">
      <w:pPr>
        <w:pStyle w:val="berschrift2"/>
      </w:pPr>
      <w:bookmarkStart w:id="28" w:name="_Toc83113305"/>
      <w:bookmarkStart w:id="29" w:name="_Toc122012098"/>
      <w:bookmarkStart w:id="30" w:name="_Toc162964615"/>
      <w:r w:rsidRPr="001D5E02">
        <w:lastRenderedPageBreak/>
        <w:t>Preisbereinigte Umsatzentwicklung</w:t>
      </w:r>
      <w:bookmarkEnd w:id="28"/>
      <w:bookmarkEnd w:id="29"/>
      <w:bookmarkEnd w:id="30"/>
    </w:p>
    <w:p w:rsidR="00ED7317" w:rsidRPr="007307D8" w:rsidRDefault="00943E0A" w:rsidP="00ED7317">
      <w:r>
        <w:t>Nach Berücksichtigung der Veränderung der Verkaufspreise ist der Umsatz im österreichischen Gewerbe und Handwerk 2023 mengenmäßig um 5,6 % gesunken.</w:t>
      </w:r>
      <w:r w:rsidR="00ED7317">
        <w:t xml:space="preserve"> </w:t>
      </w:r>
      <w:r>
        <w:t>Zum Vergleich: Das Bruttoinlandsprodukt lag real um 0,8 % unter dem Niveau des Vorjahres.</w:t>
      </w:r>
    </w:p>
    <w:p w:rsidR="00ED7317" w:rsidRDefault="009F089D" w:rsidP="009F089D">
      <w:pPr>
        <w:pStyle w:val="Beschriftung"/>
      </w:pPr>
      <w:bookmarkStart w:id="31" w:name="_Toc529980763"/>
      <w:bookmarkStart w:id="32" w:name="_Toc121745604"/>
      <w:r>
        <w:t xml:space="preserve">Abb. </w:t>
      </w:r>
      <w:fldSimple w:instr=" SEQ Abb. \* ARABIC ">
        <w:r w:rsidR="00943E0A">
          <w:rPr>
            <w:noProof/>
          </w:rPr>
          <w:t>3</w:t>
        </w:r>
      </w:fldSimple>
      <w:r>
        <w:t xml:space="preserve"> |</w:t>
      </w:r>
      <w:r>
        <w:tab/>
      </w:r>
      <w:r w:rsidR="00ED7317">
        <w:t>Preisbereinigte Umsatzentwicklung bzw. reale Entwicklung des Bruttoinlandsprodukts</w:t>
      </w:r>
      <w:bookmarkEnd w:id="31"/>
      <w:bookmarkEnd w:id="32"/>
    </w:p>
    <w:p w:rsidR="00ED7317" w:rsidRDefault="009F089D" w:rsidP="009F089D">
      <w:pPr>
        <w:pStyle w:val="Beschriftung"/>
      </w:pPr>
      <w:r>
        <w:tab/>
      </w:r>
      <w:r w:rsidR="00ED7317">
        <w:t>Veränderung gegenüber dem Vorjahr in</w:t>
      </w:r>
      <w:r w:rsidR="00943E0A">
        <w:t> %</w:t>
      </w:r>
    </w:p>
    <w:p w:rsidR="00ED7317" w:rsidRDefault="008F0253" w:rsidP="00ED7317">
      <w:r>
        <w:object w:dxaOrig="9526" w:dyaOrig="4245">
          <v:shape id="_x0000_i1027" type="#_x0000_t75" style="width:474pt;height:210pt" o:ole="">
            <v:imagedata r:id="rId32" o:title=""/>
          </v:shape>
          <o:OLEObject Type="Link" ProgID="Excel.Sheet.12" ShapeID="_x0000_i1027" DrawAspect="Content" r:id="rId33" UpdateMode="OnCall">
            <o:LinkType>EnhancedMetaFile</o:LinkType>
            <o:LockedField>false</o:LockedField>
          </o:OLEObject>
        </w:object>
      </w:r>
    </w:p>
    <w:p w:rsidR="00ED7317" w:rsidRDefault="00ED7317" w:rsidP="00ED7317">
      <w:pPr>
        <w:pStyle w:val="Quelle"/>
      </w:pPr>
      <w:r w:rsidRPr="00493F95">
        <w:t>Auf Grund der Miteinbeziehung von zusätzlichen Branchen in den Gesamtdurchschnitt sind die Werte ab 2020 mit jenen der Vorjahre nur bedingt vergleichbar bzw. mit Vorsicht zu interpretieren.</w:t>
      </w:r>
    </w:p>
    <w:p w:rsidR="00ED7317" w:rsidRDefault="00ED7317" w:rsidP="00ED7317">
      <w:pPr>
        <w:pStyle w:val="Quelle"/>
      </w:pPr>
      <w:r w:rsidRPr="006D0118">
        <w:t>Quellen: KMU Forschung Austria, Statistik Austria</w:t>
      </w:r>
    </w:p>
    <w:p w:rsidR="001D5E02" w:rsidRDefault="001D5E02">
      <w:pPr>
        <w:spacing w:after="0"/>
        <w:jc w:val="left"/>
      </w:pPr>
      <w:r>
        <w:br w:type="page"/>
      </w:r>
    </w:p>
    <w:p w:rsidR="00ED7317" w:rsidRPr="001D5E02" w:rsidRDefault="00ED7317" w:rsidP="001D5E02">
      <w:pPr>
        <w:pStyle w:val="berschrift2"/>
      </w:pPr>
      <w:bookmarkStart w:id="33" w:name="_Toc83113306"/>
      <w:bookmarkStart w:id="34" w:name="_Toc122012099"/>
      <w:bookmarkStart w:id="35" w:name="_Toc162964616"/>
      <w:r w:rsidRPr="001D5E02">
        <w:lastRenderedPageBreak/>
        <w:t>Exportquote</w:t>
      </w:r>
      <w:bookmarkEnd w:id="33"/>
      <w:bookmarkEnd w:id="34"/>
      <w:bookmarkEnd w:id="35"/>
    </w:p>
    <w:p w:rsidR="00ED7317" w:rsidRDefault="00943E0A" w:rsidP="00ED7317">
      <w:r>
        <w:t>5,8 % des Gesamtumsatzes entfielen 2023 auf Exporte (Vorjahr: 5,7 %).</w:t>
      </w:r>
      <w:r w:rsidR="00ED7317">
        <w:t xml:space="preserve"> </w:t>
      </w:r>
      <w:r w:rsidR="00ED7317" w:rsidRPr="00AB0CED">
        <w:t xml:space="preserve">Absolut wurden somit von den Gewerbe- und Handwerksbetrieben Waren und Leistungen im Wert </w:t>
      </w:r>
      <w:r w:rsidR="00ED7317" w:rsidRPr="00813069">
        <w:t>von rd. </w:t>
      </w:r>
      <w:r>
        <w:t>€ 7,5 Mrd</w:t>
      </w:r>
      <w:r w:rsidR="00ED7317">
        <w:t xml:space="preserve"> exportiert.</w:t>
      </w:r>
      <w:r w:rsidR="00ED7317" w:rsidRPr="0031299D">
        <w:rPr>
          <w:rStyle w:val="Funotenzeichen"/>
        </w:rPr>
        <w:footnoteReference w:id="3"/>
      </w:r>
    </w:p>
    <w:p w:rsidR="00ED7317" w:rsidRDefault="00943E0A" w:rsidP="00ED7317">
      <w:r>
        <w:t>Die Exportleistung ist auf relativ wenige Betriebe zurückzuführen. 9 % realisierten Umsätze mit Exporten, während 91 % im Jahr 2023 gar keine Exportumsätze hatten.</w:t>
      </w:r>
    </w:p>
    <w:p w:rsidR="00ED7317" w:rsidRDefault="009F089D" w:rsidP="009F089D">
      <w:pPr>
        <w:pStyle w:val="Beschriftung"/>
      </w:pPr>
      <w:bookmarkStart w:id="36" w:name="_Toc529980764"/>
      <w:bookmarkStart w:id="37" w:name="_Toc121745605"/>
      <w:r>
        <w:t xml:space="preserve">Abb. </w:t>
      </w:r>
      <w:fldSimple w:instr=" SEQ Abb. \* ARABIC ">
        <w:r w:rsidR="00943E0A">
          <w:rPr>
            <w:noProof/>
          </w:rPr>
          <w:t>4</w:t>
        </w:r>
      </w:fldSimple>
      <w:r>
        <w:t xml:space="preserve"> |</w:t>
      </w:r>
      <w:r>
        <w:tab/>
      </w:r>
      <w:r w:rsidR="00ED7317" w:rsidRPr="006D0118">
        <w:t xml:space="preserve">Anteil der </w:t>
      </w:r>
      <w:r w:rsidR="00ED7317">
        <w:t xml:space="preserve">exportierenden </w:t>
      </w:r>
      <w:r w:rsidR="00ED7317" w:rsidRPr="006D0118">
        <w:t xml:space="preserve">Betriebe in Prozent nach </w:t>
      </w:r>
      <w:r w:rsidR="00ED7317">
        <w:t xml:space="preserve">Höhe ihrer </w:t>
      </w:r>
      <w:r w:rsidR="00ED7317" w:rsidRPr="006D0118">
        <w:t>Exportanteile</w:t>
      </w:r>
      <w:bookmarkEnd w:id="36"/>
      <w:bookmarkEnd w:id="37"/>
    </w:p>
    <w:p w:rsidR="00ED7317" w:rsidRDefault="008F0253" w:rsidP="00ED7317">
      <w:r>
        <w:object w:dxaOrig="9526" w:dyaOrig="4245">
          <v:shape id="_x0000_i1028" type="#_x0000_t75" style="width:474pt;height:210pt" o:ole="">
            <v:imagedata r:id="rId34" o:title=""/>
          </v:shape>
          <o:OLEObject Type="Link" ProgID="Excel.Sheet.12" ShapeID="_x0000_i1028" DrawAspect="Content" r:id="rId35" UpdateMode="OnCall">
            <o:LinkType>EnhancedMetaFile</o:LinkType>
            <o:LockedField>false</o:LockedField>
          </o:OLEObject>
        </w:object>
      </w:r>
    </w:p>
    <w:p w:rsidR="00ED7317" w:rsidRDefault="00ED7317" w:rsidP="00ED7317">
      <w:pPr>
        <w:pStyle w:val="Quelle"/>
      </w:pPr>
      <w:r w:rsidRPr="006D0118">
        <w:t>Quelle: KMU Forschung Austria</w:t>
      </w:r>
    </w:p>
    <w:p w:rsidR="001D5E02" w:rsidRDefault="001D5E02">
      <w:pPr>
        <w:spacing w:after="0"/>
        <w:jc w:val="left"/>
      </w:pPr>
      <w:r>
        <w:br w:type="page"/>
      </w:r>
    </w:p>
    <w:p w:rsidR="00ED7317" w:rsidRPr="001D5E02" w:rsidRDefault="00ED7317" w:rsidP="001D5E02">
      <w:pPr>
        <w:pStyle w:val="berschrift2"/>
      </w:pPr>
      <w:bookmarkStart w:id="38" w:name="_Toc83113307"/>
      <w:bookmarkStart w:id="39" w:name="_Toc122012100"/>
      <w:bookmarkStart w:id="40" w:name="_Toc162964617"/>
      <w:r w:rsidRPr="001D5E02">
        <w:lastRenderedPageBreak/>
        <w:t>Investitionen</w:t>
      </w:r>
      <w:bookmarkEnd w:id="38"/>
      <w:bookmarkEnd w:id="39"/>
      <w:bookmarkEnd w:id="40"/>
    </w:p>
    <w:p w:rsidR="00ED7317" w:rsidRDefault="00943E0A" w:rsidP="00ED7317">
      <w:r>
        <w:t>In Summe wurden von den österreichischen Gewerbe- und Handwerksbetrieben im Jahr 2023 Investitionen in der Höhe von</w:t>
      </w:r>
      <w:r w:rsidR="00ED7317" w:rsidRPr="00813069">
        <w:t xml:space="preserve"> rd. </w:t>
      </w:r>
      <w:r>
        <w:t>€ 4,2 Mrd</w:t>
      </w:r>
      <w:r w:rsidR="00ED7317" w:rsidRPr="00813069">
        <w:t xml:space="preserve"> get</w:t>
      </w:r>
      <w:r w:rsidR="00ED7317">
        <w:t>ätigt.</w:t>
      </w:r>
      <w:r w:rsidR="00ED7317" w:rsidRPr="0031299D">
        <w:rPr>
          <w:rStyle w:val="Funotenzeichen"/>
        </w:rPr>
        <w:footnoteReference w:id="4"/>
      </w:r>
    </w:p>
    <w:p w:rsidR="00ED7317" w:rsidRDefault="00943E0A" w:rsidP="00ED7317">
      <w:r>
        <w:t>Im Durchschnitt investierte das Gewerbe und Handwerk damit rd. € 4.200,- je Beschäftigten, das sind um 18 % weniger als im Vorjahr (€ 5.100,-).</w:t>
      </w:r>
      <w:r w:rsidR="00ED7317">
        <w:t xml:space="preserve"> </w:t>
      </w:r>
      <w:r>
        <w:t>Von den Gesamtinvestitionen entfielen € 1.400,- je Beschäftigten auf bauliche (2022: € 2.300,-) sowie € 2.800,- auf sonstige (Ausrüstungs-</w:t>
      </w:r>
      <w:r w:rsidR="001B3E96">
        <w:t>) Investitionen (2022: € 2.800,</w:t>
      </w:r>
      <w:r w:rsidR="001B3E96">
        <w:noBreakHyphen/>
      </w:r>
      <w:r>
        <w:t>).</w:t>
      </w:r>
      <w:r w:rsidR="00ED7317" w:rsidRPr="005F798A">
        <w:t xml:space="preserve"> </w:t>
      </w:r>
      <w:r w:rsidRPr="00943E0A">
        <w:rPr>
          <w:bCs/>
        </w:rPr>
        <w:t>Im Vergleich zu 2022 sind</w:t>
      </w:r>
      <w:r>
        <w:t xml:space="preserve"> die baulichen Investitionen </w:t>
      </w:r>
      <w:r w:rsidR="002F520B">
        <w:t>um 39 %</w:t>
      </w:r>
      <w:r w:rsidR="00493F95">
        <w:t xml:space="preserve"> zurückgegangen </w:t>
      </w:r>
      <w:r w:rsidR="002F520B">
        <w:t>und</w:t>
      </w:r>
      <w:r w:rsidR="00493F95">
        <w:t xml:space="preserve"> die</w:t>
      </w:r>
      <w:r>
        <w:t xml:space="preserve"> sonstigen Investitionen </w:t>
      </w:r>
      <w:r w:rsidR="002F520B">
        <w:t>in etwa gleichgeblieben</w:t>
      </w:r>
      <w:r>
        <w:t>.</w:t>
      </w:r>
      <w:r w:rsidR="00ED7317" w:rsidRPr="0031299D">
        <w:rPr>
          <w:rStyle w:val="Funotenzeichen"/>
        </w:rPr>
        <w:footnoteReference w:id="5"/>
      </w:r>
    </w:p>
    <w:p w:rsidR="00ED7317" w:rsidRPr="009161C3" w:rsidRDefault="009F089D" w:rsidP="009F089D">
      <w:pPr>
        <w:pStyle w:val="Beschriftung"/>
      </w:pPr>
      <w:bookmarkStart w:id="41" w:name="_Toc529980765"/>
      <w:bookmarkStart w:id="42" w:name="_Toc121745606"/>
      <w:r>
        <w:t xml:space="preserve">Abb. </w:t>
      </w:r>
      <w:fldSimple w:instr=" SEQ Abb. \* ARABIC ">
        <w:r w:rsidR="00943E0A">
          <w:rPr>
            <w:noProof/>
          </w:rPr>
          <w:t>5</w:t>
        </w:r>
      </w:fldSimple>
      <w:r>
        <w:t xml:space="preserve"> |</w:t>
      </w:r>
      <w:r>
        <w:tab/>
      </w:r>
      <w:r w:rsidR="00ED7317" w:rsidRPr="009161C3">
        <w:t>Investitionen je korrigierten Beschäftigten in €</w:t>
      </w:r>
      <w:bookmarkEnd w:id="41"/>
      <w:bookmarkEnd w:id="42"/>
    </w:p>
    <w:p w:rsidR="00ED7317" w:rsidRPr="009161C3" w:rsidRDefault="009F089D" w:rsidP="009F089D">
      <w:pPr>
        <w:pStyle w:val="Beschriftung"/>
      </w:pPr>
      <w:r>
        <w:tab/>
      </w:r>
      <w:r w:rsidR="00ED7317" w:rsidRPr="009161C3">
        <w:t>gerundete Werte</w:t>
      </w:r>
    </w:p>
    <w:p w:rsidR="00ED7317" w:rsidRPr="000E1832" w:rsidRDefault="008F0253" w:rsidP="00ED7317">
      <w:r>
        <w:object w:dxaOrig="9526" w:dyaOrig="4245">
          <v:shape id="_x0000_i1029" type="#_x0000_t75" style="width:474pt;height:210pt" o:ole="">
            <v:imagedata r:id="rId36" o:title=""/>
          </v:shape>
          <o:OLEObject Type="Link" ProgID="Excel.Sheet.12" ShapeID="_x0000_i1029" DrawAspect="Content" r:id="rId37" UpdateMode="OnCall">
            <o:LinkType>EnhancedMetaFile</o:LinkType>
            <o:LockedField>false</o:LockedField>
          </o:OLEObject>
        </w:object>
      </w:r>
    </w:p>
    <w:p w:rsidR="00ED7317" w:rsidRDefault="00ED7317" w:rsidP="00ED7317">
      <w:pPr>
        <w:pStyle w:val="Quelle"/>
      </w:pPr>
      <w:r w:rsidRPr="00493F95">
        <w:t>Auf Grund der Miteinbeziehung von zusätzlichen Branchen in den Gesamtdurchschnitt sind die Werte ab 2020 mit jenen der Vorjahre nur bedingt vergleichbar bzw. mit Vorsicht zu interpretieren.</w:t>
      </w:r>
    </w:p>
    <w:p w:rsidR="00ED7317" w:rsidRPr="009161C3" w:rsidRDefault="00ED7317" w:rsidP="00ED7317">
      <w:pPr>
        <w:pStyle w:val="Quelle"/>
      </w:pPr>
      <w:r w:rsidRPr="009161C3">
        <w:t>Quelle: KMU Forschung Austria</w:t>
      </w:r>
    </w:p>
    <w:p w:rsidR="00ED7317" w:rsidRDefault="00943E0A" w:rsidP="00ED7317">
      <w:r>
        <w:t>2023 tätigten 40 % der Betriebe Investitionen. Beim Großteil der Investitionen handelte es sich um Ersatzinvestitionen (44 %), 37 % waren Erweiterungsinvestitionen und 19 % Rationalisierungs</w:t>
      </w:r>
      <w:r w:rsidR="00493F95">
        <w:softHyphen/>
      </w:r>
      <w:r>
        <w:t>investitionen.</w:t>
      </w:r>
    </w:p>
    <w:p w:rsidR="00ED7317" w:rsidRPr="001D5E02" w:rsidRDefault="00ED7317" w:rsidP="001D5E02">
      <w:pPr>
        <w:pStyle w:val="berschrift1"/>
      </w:pPr>
      <w:bookmarkStart w:id="43" w:name="_Toc83113308"/>
      <w:bookmarkStart w:id="44" w:name="_Toc122012101"/>
      <w:bookmarkStart w:id="45" w:name="_Toc162964618"/>
      <w:r w:rsidRPr="001D5E02">
        <w:lastRenderedPageBreak/>
        <w:t xml:space="preserve">Ausblick auf das Jahr </w:t>
      </w:r>
      <w:bookmarkEnd w:id="43"/>
      <w:r w:rsidR="00943E0A">
        <w:t>2024</w:t>
      </w:r>
      <w:bookmarkEnd w:id="44"/>
      <w:bookmarkEnd w:id="45"/>
    </w:p>
    <w:p w:rsidR="00ED7317" w:rsidRPr="001D5E02" w:rsidRDefault="00ED7317" w:rsidP="001D5E02">
      <w:pPr>
        <w:pStyle w:val="berschrift2"/>
      </w:pPr>
      <w:bookmarkStart w:id="46" w:name="_Toc83113309"/>
      <w:bookmarkStart w:id="47" w:name="_Toc122012102"/>
      <w:bookmarkStart w:id="48" w:name="_Toc162964619"/>
      <w:r w:rsidRPr="001D5E02">
        <w:t>Investitionsplanung</w:t>
      </w:r>
      <w:bookmarkEnd w:id="46"/>
      <w:bookmarkEnd w:id="47"/>
      <w:bookmarkEnd w:id="48"/>
    </w:p>
    <w:p w:rsidR="00ED7317" w:rsidRDefault="00F94177" w:rsidP="009F3AA5">
      <w:r>
        <w:t xml:space="preserve">Lediglich </w:t>
      </w:r>
      <w:r w:rsidR="00943E0A">
        <w:t>35 % der Betriebe planen, im Jahr 2024 Investitionen vorzunehmen.</w:t>
      </w:r>
    </w:p>
    <w:p w:rsidR="00943E0A" w:rsidRDefault="00943E0A" w:rsidP="00943E0A">
      <w:pPr>
        <w:pStyle w:val="Listenabsatz"/>
        <w:numPr>
          <w:ilvl w:val="0"/>
          <w:numId w:val="9"/>
        </w:numPr>
      </w:pPr>
      <w:r>
        <w:t>18 % rechnen mit höheren Investitionen als im Jahr 2023,</w:t>
      </w:r>
    </w:p>
    <w:p w:rsidR="00943E0A" w:rsidRDefault="00943E0A" w:rsidP="00943E0A">
      <w:pPr>
        <w:pStyle w:val="Listenabsatz"/>
        <w:numPr>
          <w:ilvl w:val="0"/>
          <w:numId w:val="9"/>
        </w:numPr>
      </w:pPr>
      <w:r>
        <w:t>9 % wollen gleich viel investieren wie im Vorjahr und</w:t>
      </w:r>
    </w:p>
    <w:p w:rsidR="00ED7317" w:rsidRDefault="00943E0A" w:rsidP="00370341">
      <w:pPr>
        <w:pStyle w:val="Listenabsatz"/>
        <w:numPr>
          <w:ilvl w:val="0"/>
          <w:numId w:val="9"/>
        </w:numPr>
      </w:pPr>
      <w:r>
        <w:t>8 % planen Investitionen, allerdings in geringerem Ausmaß als 2023.</w:t>
      </w:r>
    </w:p>
    <w:p w:rsidR="00ED7317" w:rsidRPr="001D5E02" w:rsidRDefault="00ED7317" w:rsidP="001D5E02">
      <w:pPr>
        <w:pStyle w:val="berschrift2"/>
      </w:pPr>
      <w:bookmarkStart w:id="49" w:name="_Toc83113310"/>
      <w:bookmarkStart w:id="50" w:name="_Toc122012103"/>
      <w:bookmarkStart w:id="51" w:name="_Toc162964620"/>
      <w:r w:rsidRPr="001D5E02">
        <w:t>Herausforderungen</w:t>
      </w:r>
      <w:bookmarkEnd w:id="49"/>
      <w:bookmarkEnd w:id="50"/>
      <w:bookmarkEnd w:id="51"/>
    </w:p>
    <w:p w:rsidR="00ED7317" w:rsidRDefault="00943E0A" w:rsidP="00D35D8C">
      <w:pPr>
        <w:pStyle w:val="Listenabsatz"/>
        <w:numPr>
          <w:ilvl w:val="0"/>
          <w:numId w:val="10"/>
        </w:numPr>
      </w:pPr>
      <w:r>
        <w:t>61 % der Betriebe sind im laufenden Jahr 2024 durch Preissteigerungen bei Rohstoffen und Materialien in ihrer Geschäftstätigkeit beeinträchtigt,</w:t>
      </w:r>
    </w:p>
    <w:p w:rsidR="00ED7317" w:rsidRDefault="00943E0A" w:rsidP="00D35D8C">
      <w:pPr>
        <w:pStyle w:val="Listenabsatz"/>
        <w:numPr>
          <w:ilvl w:val="0"/>
          <w:numId w:val="10"/>
        </w:numPr>
      </w:pPr>
      <w:r>
        <w:t>53 % durch Steuern und Abgaben,</w:t>
      </w:r>
    </w:p>
    <w:p w:rsidR="00ED7317" w:rsidRDefault="00943E0A" w:rsidP="00D35D8C">
      <w:pPr>
        <w:pStyle w:val="Listenabsatz"/>
        <w:numPr>
          <w:ilvl w:val="0"/>
          <w:numId w:val="10"/>
        </w:numPr>
      </w:pPr>
      <w:r>
        <w:t>50 % durch Preissteigerungen bei Energie,</w:t>
      </w:r>
    </w:p>
    <w:p w:rsidR="00ED7317" w:rsidRDefault="00943E0A" w:rsidP="00D35D8C">
      <w:pPr>
        <w:pStyle w:val="Listenabsatz"/>
        <w:numPr>
          <w:ilvl w:val="0"/>
          <w:numId w:val="10"/>
        </w:numPr>
      </w:pPr>
      <w:r>
        <w:t>44 % durch Preiskonkurrenz,</w:t>
      </w:r>
    </w:p>
    <w:p w:rsidR="00ED7317" w:rsidRDefault="00943E0A" w:rsidP="00D35D8C">
      <w:pPr>
        <w:pStyle w:val="Listenabsatz"/>
        <w:numPr>
          <w:ilvl w:val="0"/>
          <w:numId w:val="10"/>
        </w:numPr>
      </w:pPr>
      <w:r>
        <w:t>41 % durch Bürokratie und Verwaltung,</w:t>
      </w:r>
    </w:p>
    <w:p w:rsidR="00ED7317" w:rsidRDefault="00943E0A" w:rsidP="00D35D8C">
      <w:pPr>
        <w:pStyle w:val="Listenabsatz"/>
        <w:numPr>
          <w:ilvl w:val="0"/>
          <w:numId w:val="10"/>
        </w:numPr>
      </w:pPr>
      <w:r>
        <w:t>40 % durch Fachkräftemangel,</w:t>
      </w:r>
    </w:p>
    <w:p w:rsidR="00ED7317" w:rsidRDefault="00943E0A" w:rsidP="00D35D8C">
      <w:pPr>
        <w:pStyle w:val="Listenabsatz"/>
        <w:numPr>
          <w:ilvl w:val="0"/>
          <w:numId w:val="10"/>
        </w:numPr>
      </w:pPr>
      <w:r>
        <w:t>14 % durch Lehrlingsmangel,</w:t>
      </w:r>
    </w:p>
    <w:p w:rsidR="00ED7317" w:rsidRDefault="00943E0A" w:rsidP="00D35D8C">
      <w:pPr>
        <w:pStyle w:val="Listenabsatz"/>
        <w:numPr>
          <w:ilvl w:val="0"/>
          <w:numId w:val="10"/>
        </w:numPr>
      </w:pPr>
      <w:r>
        <w:t>12 % durch fehlendes Risiko- bzw. Eigenkapital,</w:t>
      </w:r>
    </w:p>
    <w:p w:rsidR="00ED7317" w:rsidRDefault="00943E0A" w:rsidP="00D35D8C">
      <w:pPr>
        <w:pStyle w:val="Listenabsatz"/>
        <w:numPr>
          <w:ilvl w:val="0"/>
          <w:numId w:val="10"/>
        </w:numPr>
      </w:pPr>
      <w:r>
        <w:t xml:space="preserve">12 % durch Schwierigkeiten bei der Kreditaufnahme und </w:t>
      </w:r>
    </w:p>
    <w:p w:rsidR="00ED7317" w:rsidRDefault="00943E0A" w:rsidP="00D35D8C">
      <w:pPr>
        <w:pStyle w:val="Listenabsatz"/>
        <w:numPr>
          <w:ilvl w:val="0"/>
          <w:numId w:val="10"/>
        </w:numPr>
      </w:pPr>
      <w:r>
        <w:t>10 % durch Zuliefer- bzw. Lieferkettenprobleme.</w:t>
      </w:r>
    </w:p>
    <w:p w:rsidR="00943E0A" w:rsidRPr="00943E0A" w:rsidRDefault="009F089D" w:rsidP="00943E0A">
      <w:pPr>
        <w:pStyle w:val="Beschriftung"/>
      </w:pPr>
      <w:bookmarkStart w:id="52" w:name="_Toc529980773"/>
      <w:r>
        <w:t xml:space="preserve">Tab. </w:t>
      </w:r>
      <w:fldSimple w:instr=" SEQ Tab. \* ARABIC ">
        <w:r w:rsidR="00943E0A">
          <w:rPr>
            <w:noProof/>
          </w:rPr>
          <w:t>1</w:t>
        </w:r>
      </w:fldSimple>
      <w:r>
        <w:t xml:space="preserve"> |</w:t>
      </w:r>
      <w:r>
        <w:tab/>
      </w:r>
      <w:r w:rsidR="00ED7317" w:rsidRPr="009161C3">
        <w:t>Anteil der Betriebe in Prozent nach Problembereichen</w:t>
      </w:r>
      <w:bookmarkStart w:id="53" w:name="RANGE!A213:G223"/>
      <w:bookmarkEnd w:id="52"/>
      <w:bookmarkEnd w:id="53"/>
    </w:p>
    <w:tbl>
      <w:tblPr>
        <w:tblStyle w:val="KMFATabelle"/>
        <w:tblW w:w="5000" w:type="pct"/>
        <w:tblLook w:val="0420" w:firstRow="1" w:lastRow="0" w:firstColumn="0" w:lastColumn="0" w:noHBand="0" w:noVBand="1"/>
      </w:tblPr>
      <w:tblGrid>
        <w:gridCol w:w="4732"/>
        <w:gridCol w:w="808"/>
        <w:gridCol w:w="808"/>
        <w:gridCol w:w="808"/>
        <w:gridCol w:w="808"/>
        <w:gridCol w:w="808"/>
        <w:gridCol w:w="809"/>
      </w:tblGrid>
      <w:tr w:rsidR="00943E0A" w:rsidRPr="00943E0A" w:rsidTr="008F0253">
        <w:trPr>
          <w:cnfStyle w:val="100000000000" w:firstRow="1" w:lastRow="0" w:firstColumn="0" w:lastColumn="0" w:oddVBand="0" w:evenVBand="0" w:oddHBand="0" w:evenHBand="0" w:firstRowFirstColumn="0" w:firstRowLastColumn="0" w:lastRowFirstColumn="0" w:lastRowLastColumn="0"/>
          <w:divId w:val="1879463009"/>
          <w:trHeight w:val="255"/>
        </w:trPr>
        <w:tc>
          <w:tcPr>
            <w:tcW w:w="4732" w:type="dxa"/>
            <w:noWrap/>
            <w:hideMark/>
          </w:tcPr>
          <w:p w:rsidR="00943E0A" w:rsidRPr="00943E0A" w:rsidRDefault="00943E0A" w:rsidP="00943E0A">
            <w:pPr>
              <w:jc w:val="left"/>
            </w:pPr>
          </w:p>
        </w:tc>
        <w:tc>
          <w:tcPr>
            <w:tcW w:w="808" w:type="dxa"/>
            <w:noWrap/>
            <w:hideMark/>
          </w:tcPr>
          <w:p w:rsidR="00943E0A" w:rsidRPr="00943E0A" w:rsidRDefault="00943E0A" w:rsidP="00943E0A">
            <w:pPr>
              <w:jc w:val="center"/>
            </w:pPr>
            <w:r w:rsidRPr="00943E0A">
              <w:t>2019</w:t>
            </w:r>
          </w:p>
        </w:tc>
        <w:tc>
          <w:tcPr>
            <w:tcW w:w="808" w:type="dxa"/>
            <w:noWrap/>
            <w:hideMark/>
          </w:tcPr>
          <w:p w:rsidR="00943E0A" w:rsidRPr="00943E0A" w:rsidRDefault="00943E0A" w:rsidP="00943E0A">
            <w:pPr>
              <w:jc w:val="center"/>
            </w:pPr>
            <w:r w:rsidRPr="00943E0A">
              <w:t>2020</w:t>
            </w:r>
          </w:p>
        </w:tc>
        <w:tc>
          <w:tcPr>
            <w:tcW w:w="808" w:type="dxa"/>
            <w:noWrap/>
            <w:hideMark/>
          </w:tcPr>
          <w:p w:rsidR="00943E0A" w:rsidRPr="00943E0A" w:rsidRDefault="00943E0A" w:rsidP="00943E0A">
            <w:pPr>
              <w:jc w:val="center"/>
            </w:pPr>
            <w:r w:rsidRPr="00943E0A">
              <w:t>2021</w:t>
            </w:r>
          </w:p>
        </w:tc>
        <w:tc>
          <w:tcPr>
            <w:tcW w:w="808" w:type="dxa"/>
            <w:noWrap/>
            <w:hideMark/>
          </w:tcPr>
          <w:p w:rsidR="00943E0A" w:rsidRPr="00943E0A" w:rsidRDefault="00943E0A" w:rsidP="00943E0A">
            <w:pPr>
              <w:jc w:val="center"/>
            </w:pPr>
            <w:r w:rsidRPr="00943E0A">
              <w:t>2022</w:t>
            </w:r>
          </w:p>
        </w:tc>
        <w:tc>
          <w:tcPr>
            <w:tcW w:w="808" w:type="dxa"/>
            <w:noWrap/>
            <w:hideMark/>
          </w:tcPr>
          <w:p w:rsidR="00943E0A" w:rsidRPr="00943E0A" w:rsidRDefault="00943E0A" w:rsidP="00943E0A">
            <w:pPr>
              <w:jc w:val="center"/>
            </w:pPr>
            <w:r w:rsidRPr="00943E0A">
              <w:t>2023</w:t>
            </w:r>
          </w:p>
        </w:tc>
        <w:tc>
          <w:tcPr>
            <w:tcW w:w="809" w:type="dxa"/>
            <w:noWrap/>
            <w:hideMark/>
          </w:tcPr>
          <w:p w:rsidR="00943E0A" w:rsidRPr="00943E0A" w:rsidRDefault="00943E0A" w:rsidP="00943E0A">
            <w:pPr>
              <w:jc w:val="center"/>
            </w:pPr>
            <w:r w:rsidRPr="00943E0A">
              <w:t>2024</w:t>
            </w:r>
          </w:p>
        </w:tc>
      </w:tr>
      <w:tr w:rsidR="00943E0A" w:rsidRPr="00943E0A" w:rsidTr="008F0253">
        <w:trPr>
          <w:cnfStyle w:val="000000100000" w:firstRow="0" w:lastRow="0" w:firstColumn="0" w:lastColumn="0" w:oddVBand="0" w:evenVBand="0" w:oddHBand="1" w:evenHBand="0" w:firstRowFirstColumn="0" w:firstRowLastColumn="0" w:lastRowFirstColumn="0" w:lastRowLastColumn="0"/>
          <w:divId w:val="1879463009"/>
          <w:trHeight w:val="255"/>
        </w:trPr>
        <w:tc>
          <w:tcPr>
            <w:tcW w:w="4732" w:type="dxa"/>
            <w:noWrap/>
            <w:hideMark/>
          </w:tcPr>
          <w:p w:rsidR="00943E0A" w:rsidRPr="00943E0A" w:rsidRDefault="00943E0A" w:rsidP="00943E0A">
            <w:pPr>
              <w:jc w:val="left"/>
            </w:pPr>
            <w:r w:rsidRPr="00943E0A">
              <w:t>Preiskonkurrenz</w:t>
            </w:r>
          </w:p>
        </w:tc>
        <w:tc>
          <w:tcPr>
            <w:tcW w:w="808" w:type="dxa"/>
            <w:noWrap/>
            <w:hideMark/>
          </w:tcPr>
          <w:p w:rsidR="00943E0A" w:rsidRPr="00943E0A" w:rsidRDefault="00943E0A" w:rsidP="00943E0A">
            <w:pPr>
              <w:ind w:right="170"/>
              <w:jc w:val="right"/>
            </w:pPr>
            <w:r w:rsidRPr="00943E0A">
              <w:t>50</w:t>
            </w:r>
          </w:p>
        </w:tc>
        <w:tc>
          <w:tcPr>
            <w:tcW w:w="808" w:type="dxa"/>
            <w:noWrap/>
            <w:hideMark/>
          </w:tcPr>
          <w:p w:rsidR="00943E0A" w:rsidRPr="00943E0A" w:rsidRDefault="00943E0A" w:rsidP="00943E0A">
            <w:pPr>
              <w:ind w:right="170"/>
              <w:jc w:val="right"/>
            </w:pPr>
            <w:r w:rsidRPr="00943E0A">
              <w:t>43</w:t>
            </w:r>
          </w:p>
        </w:tc>
        <w:tc>
          <w:tcPr>
            <w:tcW w:w="808" w:type="dxa"/>
            <w:noWrap/>
            <w:hideMark/>
          </w:tcPr>
          <w:p w:rsidR="00943E0A" w:rsidRPr="00943E0A" w:rsidRDefault="00943E0A" w:rsidP="00943E0A">
            <w:pPr>
              <w:ind w:right="170"/>
              <w:jc w:val="right"/>
            </w:pPr>
            <w:r w:rsidRPr="00943E0A">
              <w:t>43</w:t>
            </w:r>
          </w:p>
        </w:tc>
        <w:tc>
          <w:tcPr>
            <w:tcW w:w="808" w:type="dxa"/>
            <w:noWrap/>
            <w:hideMark/>
          </w:tcPr>
          <w:p w:rsidR="00943E0A" w:rsidRPr="00943E0A" w:rsidRDefault="00943E0A" w:rsidP="00943E0A">
            <w:pPr>
              <w:ind w:right="170"/>
              <w:jc w:val="right"/>
            </w:pPr>
            <w:r w:rsidRPr="00943E0A">
              <w:t>40</w:t>
            </w:r>
          </w:p>
        </w:tc>
        <w:tc>
          <w:tcPr>
            <w:tcW w:w="808" w:type="dxa"/>
            <w:noWrap/>
            <w:hideMark/>
          </w:tcPr>
          <w:p w:rsidR="00943E0A" w:rsidRPr="00943E0A" w:rsidRDefault="00943E0A" w:rsidP="00943E0A">
            <w:pPr>
              <w:ind w:right="170"/>
              <w:jc w:val="right"/>
            </w:pPr>
            <w:r w:rsidRPr="00943E0A">
              <w:t>38</w:t>
            </w:r>
          </w:p>
        </w:tc>
        <w:tc>
          <w:tcPr>
            <w:tcW w:w="809" w:type="dxa"/>
            <w:noWrap/>
            <w:hideMark/>
          </w:tcPr>
          <w:p w:rsidR="00943E0A" w:rsidRPr="00943E0A" w:rsidRDefault="00943E0A" w:rsidP="00943E0A">
            <w:pPr>
              <w:ind w:right="170"/>
              <w:jc w:val="right"/>
            </w:pPr>
            <w:r w:rsidRPr="00943E0A">
              <w:t>44</w:t>
            </w:r>
          </w:p>
        </w:tc>
      </w:tr>
      <w:tr w:rsidR="00943E0A" w:rsidRPr="00943E0A" w:rsidTr="008F0253">
        <w:trPr>
          <w:cnfStyle w:val="000000010000" w:firstRow="0" w:lastRow="0" w:firstColumn="0" w:lastColumn="0" w:oddVBand="0" w:evenVBand="0" w:oddHBand="0" w:evenHBand="1" w:firstRowFirstColumn="0" w:firstRowLastColumn="0" w:lastRowFirstColumn="0" w:lastRowLastColumn="0"/>
          <w:divId w:val="1879463009"/>
          <w:trHeight w:val="255"/>
        </w:trPr>
        <w:tc>
          <w:tcPr>
            <w:tcW w:w="4732" w:type="dxa"/>
            <w:noWrap/>
            <w:hideMark/>
          </w:tcPr>
          <w:p w:rsidR="00943E0A" w:rsidRPr="00943E0A" w:rsidRDefault="00943E0A" w:rsidP="00943E0A">
            <w:pPr>
              <w:jc w:val="left"/>
            </w:pPr>
            <w:r w:rsidRPr="00943E0A">
              <w:t>Fehlendes Risiko- bzw. Eigenkapital</w:t>
            </w:r>
          </w:p>
        </w:tc>
        <w:tc>
          <w:tcPr>
            <w:tcW w:w="808" w:type="dxa"/>
            <w:noWrap/>
            <w:hideMark/>
          </w:tcPr>
          <w:p w:rsidR="00943E0A" w:rsidRPr="00943E0A" w:rsidRDefault="00943E0A" w:rsidP="00943E0A">
            <w:pPr>
              <w:ind w:right="170"/>
              <w:jc w:val="right"/>
            </w:pPr>
            <w:r w:rsidRPr="00943E0A">
              <w:t>8</w:t>
            </w:r>
          </w:p>
        </w:tc>
        <w:tc>
          <w:tcPr>
            <w:tcW w:w="808" w:type="dxa"/>
            <w:noWrap/>
            <w:hideMark/>
          </w:tcPr>
          <w:p w:rsidR="00943E0A" w:rsidRPr="00943E0A" w:rsidRDefault="00943E0A" w:rsidP="00943E0A">
            <w:pPr>
              <w:ind w:right="170"/>
              <w:jc w:val="right"/>
            </w:pPr>
            <w:r w:rsidRPr="00943E0A">
              <w:t>12</w:t>
            </w:r>
          </w:p>
        </w:tc>
        <w:tc>
          <w:tcPr>
            <w:tcW w:w="808" w:type="dxa"/>
            <w:noWrap/>
            <w:hideMark/>
          </w:tcPr>
          <w:p w:rsidR="00943E0A" w:rsidRPr="00943E0A" w:rsidRDefault="00943E0A" w:rsidP="00943E0A">
            <w:pPr>
              <w:ind w:right="170"/>
              <w:jc w:val="right"/>
            </w:pPr>
            <w:r w:rsidRPr="00943E0A">
              <w:t>12</w:t>
            </w:r>
          </w:p>
        </w:tc>
        <w:tc>
          <w:tcPr>
            <w:tcW w:w="808" w:type="dxa"/>
            <w:noWrap/>
            <w:hideMark/>
          </w:tcPr>
          <w:p w:rsidR="00943E0A" w:rsidRPr="00943E0A" w:rsidRDefault="00943E0A" w:rsidP="00943E0A">
            <w:pPr>
              <w:ind w:right="170"/>
              <w:jc w:val="right"/>
            </w:pPr>
            <w:r w:rsidRPr="00943E0A">
              <w:t>8</w:t>
            </w:r>
          </w:p>
        </w:tc>
        <w:tc>
          <w:tcPr>
            <w:tcW w:w="808" w:type="dxa"/>
            <w:noWrap/>
            <w:hideMark/>
          </w:tcPr>
          <w:p w:rsidR="00943E0A" w:rsidRPr="00943E0A" w:rsidRDefault="00943E0A" w:rsidP="00943E0A">
            <w:pPr>
              <w:ind w:right="170"/>
              <w:jc w:val="right"/>
            </w:pPr>
            <w:r w:rsidRPr="00943E0A">
              <w:t>10</w:t>
            </w:r>
          </w:p>
        </w:tc>
        <w:tc>
          <w:tcPr>
            <w:tcW w:w="809" w:type="dxa"/>
            <w:noWrap/>
            <w:hideMark/>
          </w:tcPr>
          <w:p w:rsidR="00943E0A" w:rsidRPr="00943E0A" w:rsidRDefault="00943E0A" w:rsidP="00943E0A">
            <w:pPr>
              <w:ind w:right="170"/>
              <w:jc w:val="right"/>
            </w:pPr>
            <w:r w:rsidRPr="00943E0A">
              <w:t>12</w:t>
            </w:r>
          </w:p>
        </w:tc>
      </w:tr>
      <w:tr w:rsidR="00943E0A" w:rsidRPr="00943E0A" w:rsidTr="008F0253">
        <w:trPr>
          <w:cnfStyle w:val="000000100000" w:firstRow="0" w:lastRow="0" w:firstColumn="0" w:lastColumn="0" w:oddVBand="0" w:evenVBand="0" w:oddHBand="1" w:evenHBand="0" w:firstRowFirstColumn="0" w:firstRowLastColumn="0" w:lastRowFirstColumn="0" w:lastRowLastColumn="0"/>
          <w:divId w:val="1879463009"/>
          <w:trHeight w:val="255"/>
        </w:trPr>
        <w:tc>
          <w:tcPr>
            <w:tcW w:w="4732" w:type="dxa"/>
            <w:noWrap/>
            <w:hideMark/>
          </w:tcPr>
          <w:p w:rsidR="00943E0A" w:rsidRPr="00943E0A" w:rsidRDefault="00943E0A" w:rsidP="00943E0A">
            <w:pPr>
              <w:jc w:val="left"/>
            </w:pPr>
            <w:r w:rsidRPr="00943E0A">
              <w:t>Schwierigkeiten bei der Kreditaufnahme</w:t>
            </w:r>
          </w:p>
        </w:tc>
        <w:tc>
          <w:tcPr>
            <w:tcW w:w="808" w:type="dxa"/>
            <w:noWrap/>
            <w:hideMark/>
          </w:tcPr>
          <w:p w:rsidR="00943E0A" w:rsidRPr="00943E0A" w:rsidRDefault="00943E0A" w:rsidP="00943E0A">
            <w:pPr>
              <w:ind w:right="170"/>
              <w:jc w:val="right"/>
            </w:pPr>
            <w:r w:rsidRPr="00943E0A">
              <w:t>6</w:t>
            </w:r>
          </w:p>
        </w:tc>
        <w:tc>
          <w:tcPr>
            <w:tcW w:w="808" w:type="dxa"/>
            <w:noWrap/>
            <w:hideMark/>
          </w:tcPr>
          <w:p w:rsidR="00943E0A" w:rsidRPr="00943E0A" w:rsidRDefault="00943E0A" w:rsidP="00943E0A">
            <w:pPr>
              <w:ind w:right="170"/>
              <w:jc w:val="right"/>
            </w:pPr>
            <w:r w:rsidRPr="00943E0A">
              <w:t>7</w:t>
            </w:r>
          </w:p>
        </w:tc>
        <w:tc>
          <w:tcPr>
            <w:tcW w:w="808" w:type="dxa"/>
            <w:noWrap/>
            <w:hideMark/>
          </w:tcPr>
          <w:p w:rsidR="00943E0A" w:rsidRPr="00943E0A" w:rsidRDefault="00943E0A" w:rsidP="00943E0A">
            <w:pPr>
              <w:ind w:right="170"/>
              <w:jc w:val="right"/>
            </w:pPr>
            <w:r w:rsidRPr="00943E0A">
              <w:t>6</w:t>
            </w:r>
          </w:p>
        </w:tc>
        <w:tc>
          <w:tcPr>
            <w:tcW w:w="808" w:type="dxa"/>
            <w:noWrap/>
            <w:hideMark/>
          </w:tcPr>
          <w:p w:rsidR="00943E0A" w:rsidRPr="00943E0A" w:rsidRDefault="00943E0A" w:rsidP="00943E0A">
            <w:pPr>
              <w:ind w:right="170"/>
              <w:jc w:val="right"/>
            </w:pPr>
            <w:r w:rsidRPr="00943E0A">
              <w:t>5</w:t>
            </w:r>
          </w:p>
        </w:tc>
        <w:tc>
          <w:tcPr>
            <w:tcW w:w="808" w:type="dxa"/>
            <w:noWrap/>
            <w:hideMark/>
          </w:tcPr>
          <w:p w:rsidR="00943E0A" w:rsidRPr="00943E0A" w:rsidRDefault="00943E0A" w:rsidP="00943E0A">
            <w:pPr>
              <w:ind w:right="170"/>
              <w:jc w:val="right"/>
            </w:pPr>
            <w:r w:rsidRPr="00943E0A">
              <w:t>8</w:t>
            </w:r>
          </w:p>
        </w:tc>
        <w:tc>
          <w:tcPr>
            <w:tcW w:w="809" w:type="dxa"/>
            <w:noWrap/>
            <w:hideMark/>
          </w:tcPr>
          <w:p w:rsidR="00943E0A" w:rsidRPr="00943E0A" w:rsidRDefault="00943E0A" w:rsidP="00943E0A">
            <w:pPr>
              <w:ind w:right="170"/>
              <w:jc w:val="right"/>
            </w:pPr>
            <w:r w:rsidRPr="00943E0A">
              <w:t>12</w:t>
            </w:r>
          </w:p>
        </w:tc>
      </w:tr>
      <w:tr w:rsidR="00943E0A" w:rsidRPr="00943E0A" w:rsidTr="008F0253">
        <w:trPr>
          <w:cnfStyle w:val="000000010000" w:firstRow="0" w:lastRow="0" w:firstColumn="0" w:lastColumn="0" w:oddVBand="0" w:evenVBand="0" w:oddHBand="0" w:evenHBand="1" w:firstRowFirstColumn="0" w:firstRowLastColumn="0" w:lastRowFirstColumn="0" w:lastRowLastColumn="0"/>
          <w:divId w:val="1879463009"/>
          <w:trHeight w:val="255"/>
        </w:trPr>
        <w:tc>
          <w:tcPr>
            <w:tcW w:w="4732" w:type="dxa"/>
            <w:noWrap/>
            <w:hideMark/>
          </w:tcPr>
          <w:p w:rsidR="00943E0A" w:rsidRPr="00943E0A" w:rsidRDefault="00943E0A" w:rsidP="00943E0A">
            <w:pPr>
              <w:jc w:val="left"/>
            </w:pPr>
            <w:r w:rsidRPr="00943E0A">
              <w:t>Fachkräftemangel</w:t>
            </w:r>
          </w:p>
        </w:tc>
        <w:tc>
          <w:tcPr>
            <w:tcW w:w="808" w:type="dxa"/>
            <w:noWrap/>
            <w:hideMark/>
          </w:tcPr>
          <w:p w:rsidR="00943E0A" w:rsidRPr="00943E0A" w:rsidRDefault="00943E0A" w:rsidP="00943E0A">
            <w:pPr>
              <w:ind w:right="170"/>
              <w:jc w:val="right"/>
            </w:pPr>
            <w:r w:rsidRPr="00943E0A">
              <w:t>45</w:t>
            </w:r>
          </w:p>
        </w:tc>
        <w:tc>
          <w:tcPr>
            <w:tcW w:w="808" w:type="dxa"/>
            <w:noWrap/>
            <w:hideMark/>
          </w:tcPr>
          <w:p w:rsidR="00943E0A" w:rsidRPr="00943E0A" w:rsidRDefault="00943E0A" w:rsidP="00943E0A">
            <w:pPr>
              <w:ind w:right="170"/>
              <w:jc w:val="right"/>
            </w:pPr>
            <w:r w:rsidRPr="00943E0A">
              <w:t>36</w:t>
            </w:r>
          </w:p>
        </w:tc>
        <w:tc>
          <w:tcPr>
            <w:tcW w:w="808" w:type="dxa"/>
            <w:noWrap/>
            <w:hideMark/>
          </w:tcPr>
          <w:p w:rsidR="00943E0A" w:rsidRPr="00943E0A" w:rsidRDefault="00943E0A" w:rsidP="00943E0A">
            <w:pPr>
              <w:ind w:right="170"/>
              <w:jc w:val="right"/>
            </w:pPr>
            <w:r w:rsidRPr="00943E0A">
              <w:t>42</w:t>
            </w:r>
          </w:p>
        </w:tc>
        <w:tc>
          <w:tcPr>
            <w:tcW w:w="808" w:type="dxa"/>
            <w:noWrap/>
            <w:hideMark/>
          </w:tcPr>
          <w:p w:rsidR="00943E0A" w:rsidRPr="00943E0A" w:rsidRDefault="00943E0A" w:rsidP="00943E0A">
            <w:pPr>
              <w:ind w:right="170"/>
              <w:jc w:val="right"/>
            </w:pPr>
            <w:r w:rsidRPr="00943E0A">
              <w:t>54</w:t>
            </w:r>
          </w:p>
        </w:tc>
        <w:tc>
          <w:tcPr>
            <w:tcW w:w="808" w:type="dxa"/>
            <w:noWrap/>
            <w:hideMark/>
          </w:tcPr>
          <w:p w:rsidR="00943E0A" w:rsidRPr="00943E0A" w:rsidRDefault="00943E0A" w:rsidP="00943E0A">
            <w:pPr>
              <w:ind w:right="170"/>
              <w:jc w:val="right"/>
            </w:pPr>
            <w:r w:rsidRPr="00943E0A">
              <w:t>50</w:t>
            </w:r>
          </w:p>
        </w:tc>
        <w:tc>
          <w:tcPr>
            <w:tcW w:w="809" w:type="dxa"/>
            <w:noWrap/>
            <w:hideMark/>
          </w:tcPr>
          <w:p w:rsidR="00943E0A" w:rsidRPr="00943E0A" w:rsidRDefault="00943E0A" w:rsidP="00943E0A">
            <w:pPr>
              <w:ind w:right="170"/>
              <w:jc w:val="right"/>
            </w:pPr>
            <w:r w:rsidRPr="00943E0A">
              <w:t>40</w:t>
            </w:r>
          </w:p>
        </w:tc>
      </w:tr>
      <w:tr w:rsidR="00943E0A" w:rsidRPr="00943E0A" w:rsidTr="008F0253">
        <w:trPr>
          <w:cnfStyle w:val="000000100000" w:firstRow="0" w:lastRow="0" w:firstColumn="0" w:lastColumn="0" w:oddVBand="0" w:evenVBand="0" w:oddHBand="1" w:evenHBand="0" w:firstRowFirstColumn="0" w:firstRowLastColumn="0" w:lastRowFirstColumn="0" w:lastRowLastColumn="0"/>
          <w:divId w:val="1879463009"/>
          <w:trHeight w:val="255"/>
        </w:trPr>
        <w:tc>
          <w:tcPr>
            <w:tcW w:w="4732" w:type="dxa"/>
            <w:noWrap/>
            <w:hideMark/>
          </w:tcPr>
          <w:p w:rsidR="00943E0A" w:rsidRPr="00943E0A" w:rsidRDefault="00943E0A" w:rsidP="00943E0A">
            <w:pPr>
              <w:jc w:val="left"/>
            </w:pPr>
            <w:r w:rsidRPr="00943E0A">
              <w:t>Lehrlingsmangel</w:t>
            </w:r>
          </w:p>
        </w:tc>
        <w:tc>
          <w:tcPr>
            <w:tcW w:w="808" w:type="dxa"/>
            <w:noWrap/>
            <w:hideMark/>
          </w:tcPr>
          <w:p w:rsidR="00943E0A" w:rsidRPr="00943E0A" w:rsidRDefault="00943E0A" w:rsidP="00943E0A">
            <w:pPr>
              <w:ind w:right="170"/>
              <w:jc w:val="right"/>
            </w:pPr>
            <w:r w:rsidRPr="00943E0A">
              <w:t>18</w:t>
            </w:r>
          </w:p>
        </w:tc>
        <w:tc>
          <w:tcPr>
            <w:tcW w:w="808" w:type="dxa"/>
            <w:noWrap/>
            <w:hideMark/>
          </w:tcPr>
          <w:p w:rsidR="00943E0A" w:rsidRPr="00943E0A" w:rsidRDefault="00943E0A" w:rsidP="00943E0A">
            <w:pPr>
              <w:ind w:right="170"/>
              <w:jc w:val="right"/>
            </w:pPr>
            <w:r w:rsidRPr="00943E0A">
              <w:t>14</w:t>
            </w:r>
          </w:p>
        </w:tc>
        <w:tc>
          <w:tcPr>
            <w:tcW w:w="808" w:type="dxa"/>
            <w:noWrap/>
            <w:hideMark/>
          </w:tcPr>
          <w:p w:rsidR="00943E0A" w:rsidRPr="00943E0A" w:rsidRDefault="00943E0A" w:rsidP="00943E0A">
            <w:pPr>
              <w:ind w:right="170"/>
              <w:jc w:val="right"/>
            </w:pPr>
            <w:r w:rsidRPr="00943E0A">
              <w:t>15</w:t>
            </w:r>
          </w:p>
        </w:tc>
        <w:tc>
          <w:tcPr>
            <w:tcW w:w="808" w:type="dxa"/>
            <w:noWrap/>
            <w:hideMark/>
          </w:tcPr>
          <w:p w:rsidR="00943E0A" w:rsidRPr="00943E0A" w:rsidRDefault="00943E0A" w:rsidP="00943E0A">
            <w:pPr>
              <w:ind w:right="170"/>
              <w:jc w:val="right"/>
            </w:pPr>
            <w:r w:rsidRPr="00943E0A">
              <w:t>19</w:t>
            </w:r>
          </w:p>
        </w:tc>
        <w:tc>
          <w:tcPr>
            <w:tcW w:w="808" w:type="dxa"/>
            <w:noWrap/>
            <w:hideMark/>
          </w:tcPr>
          <w:p w:rsidR="00943E0A" w:rsidRPr="00943E0A" w:rsidRDefault="00943E0A" w:rsidP="00943E0A">
            <w:pPr>
              <w:ind w:right="170"/>
              <w:jc w:val="right"/>
            </w:pPr>
            <w:r w:rsidRPr="00943E0A">
              <w:t>16</w:t>
            </w:r>
          </w:p>
        </w:tc>
        <w:tc>
          <w:tcPr>
            <w:tcW w:w="809" w:type="dxa"/>
            <w:noWrap/>
            <w:hideMark/>
          </w:tcPr>
          <w:p w:rsidR="00943E0A" w:rsidRPr="00943E0A" w:rsidRDefault="00943E0A" w:rsidP="00943E0A">
            <w:pPr>
              <w:ind w:right="170"/>
              <w:jc w:val="right"/>
            </w:pPr>
            <w:r w:rsidRPr="00943E0A">
              <w:t>14</w:t>
            </w:r>
          </w:p>
        </w:tc>
      </w:tr>
      <w:tr w:rsidR="00943E0A" w:rsidRPr="00943E0A" w:rsidTr="008F0253">
        <w:trPr>
          <w:cnfStyle w:val="000000010000" w:firstRow="0" w:lastRow="0" w:firstColumn="0" w:lastColumn="0" w:oddVBand="0" w:evenVBand="0" w:oddHBand="0" w:evenHBand="1" w:firstRowFirstColumn="0" w:firstRowLastColumn="0" w:lastRowFirstColumn="0" w:lastRowLastColumn="0"/>
          <w:divId w:val="1879463009"/>
          <w:trHeight w:val="255"/>
        </w:trPr>
        <w:tc>
          <w:tcPr>
            <w:tcW w:w="4732" w:type="dxa"/>
            <w:noWrap/>
            <w:hideMark/>
          </w:tcPr>
          <w:p w:rsidR="00943E0A" w:rsidRPr="00943E0A" w:rsidRDefault="00943E0A" w:rsidP="00943E0A">
            <w:pPr>
              <w:jc w:val="left"/>
            </w:pPr>
            <w:r w:rsidRPr="00943E0A">
              <w:t>Bürokratie und Verwaltung</w:t>
            </w:r>
          </w:p>
        </w:tc>
        <w:tc>
          <w:tcPr>
            <w:tcW w:w="808" w:type="dxa"/>
            <w:noWrap/>
            <w:hideMark/>
          </w:tcPr>
          <w:p w:rsidR="00943E0A" w:rsidRPr="00943E0A" w:rsidRDefault="00943E0A" w:rsidP="00943E0A">
            <w:pPr>
              <w:ind w:right="170"/>
              <w:jc w:val="right"/>
              <w:rPr>
                <w:iCs/>
                <w:color w:val="005D89"/>
                <w:szCs w:val="18"/>
              </w:rPr>
            </w:pPr>
            <w:r w:rsidRPr="00943E0A">
              <w:t>41</w:t>
            </w:r>
          </w:p>
        </w:tc>
        <w:tc>
          <w:tcPr>
            <w:tcW w:w="808" w:type="dxa"/>
            <w:noWrap/>
            <w:hideMark/>
          </w:tcPr>
          <w:p w:rsidR="00943E0A" w:rsidRPr="00943E0A" w:rsidRDefault="00943E0A" w:rsidP="00943E0A">
            <w:pPr>
              <w:ind w:right="170"/>
              <w:jc w:val="right"/>
            </w:pPr>
            <w:r w:rsidRPr="00943E0A">
              <w:t>46</w:t>
            </w:r>
          </w:p>
        </w:tc>
        <w:tc>
          <w:tcPr>
            <w:tcW w:w="808" w:type="dxa"/>
            <w:noWrap/>
            <w:hideMark/>
          </w:tcPr>
          <w:p w:rsidR="00943E0A" w:rsidRPr="00943E0A" w:rsidRDefault="00943E0A" w:rsidP="00943E0A">
            <w:pPr>
              <w:ind w:right="170"/>
              <w:jc w:val="right"/>
              <w:rPr>
                <w:color w:val="000000" w:themeColor="text1"/>
                <w:sz w:val="16"/>
                <w:szCs w:val="16"/>
              </w:rPr>
            </w:pPr>
            <w:r w:rsidRPr="00943E0A">
              <w:t>47</w:t>
            </w:r>
          </w:p>
        </w:tc>
        <w:tc>
          <w:tcPr>
            <w:tcW w:w="808" w:type="dxa"/>
            <w:noWrap/>
            <w:hideMark/>
          </w:tcPr>
          <w:p w:rsidR="00943E0A" w:rsidRPr="00943E0A" w:rsidRDefault="00943E0A" w:rsidP="00943E0A">
            <w:pPr>
              <w:ind w:right="170"/>
              <w:jc w:val="right"/>
            </w:pPr>
            <w:r w:rsidRPr="00943E0A">
              <w:t>39</w:t>
            </w:r>
          </w:p>
        </w:tc>
        <w:tc>
          <w:tcPr>
            <w:tcW w:w="808" w:type="dxa"/>
            <w:noWrap/>
            <w:hideMark/>
          </w:tcPr>
          <w:p w:rsidR="00943E0A" w:rsidRPr="00943E0A" w:rsidRDefault="00943E0A" w:rsidP="00943E0A">
            <w:pPr>
              <w:ind w:right="170"/>
              <w:jc w:val="right"/>
            </w:pPr>
            <w:r w:rsidRPr="00943E0A">
              <w:t>35</w:t>
            </w:r>
          </w:p>
        </w:tc>
        <w:tc>
          <w:tcPr>
            <w:tcW w:w="809" w:type="dxa"/>
            <w:noWrap/>
            <w:hideMark/>
          </w:tcPr>
          <w:p w:rsidR="00943E0A" w:rsidRPr="00943E0A" w:rsidRDefault="00943E0A" w:rsidP="00943E0A">
            <w:pPr>
              <w:ind w:right="170"/>
              <w:jc w:val="right"/>
            </w:pPr>
            <w:r w:rsidRPr="00943E0A">
              <w:t>41</w:t>
            </w:r>
          </w:p>
        </w:tc>
      </w:tr>
      <w:tr w:rsidR="00943E0A" w:rsidRPr="00943E0A" w:rsidTr="008F0253">
        <w:trPr>
          <w:cnfStyle w:val="000000100000" w:firstRow="0" w:lastRow="0" w:firstColumn="0" w:lastColumn="0" w:oddVBand="0" w:evenVBand="0" w:oddHBand="1" w:evenHBand="0" w:firstRowFirstColumn="0" w:firstRowLastColumn="0" w:lastRowFirstColumn="0" w:lastRowLastColumn="0"/>
          <w:divId w:val="1879463009"/>
          <w:trHeight w:val="255"/>
        </w:trPr>
        <w:tc>
          <w:tcPr>
            <w:tcW w:w="4732" w:type="dxa"/>
            <w:noWrap/>
            <w:hideMark/>
          </w:tcPr>
          <w:p w:rsidR="00943E0A" w:rsidRPr="00943E0A" w:rsidRDefault="00943E0A" w:rsidP="00943E0A">
            <w:pPr>
              <w:jc w:val="left"/>
            </w:pPr>
            <w:r w:rsidRPr="00943E0A">
              <w:t>Steuern und Abgaben</w:t>
            </w:r>
          </w:p>
        </w:tc>
        <w:tc>
          <w:tcPr>
            <w:tcW w:w="808" w:type="dxa"/>
            <w:noWrap/>
            <w:hideMark/>
          </w:tcPr>
          <w:p w:rsidR="00943E0A" w:rsidRPr="00943E0A" w:rsidRDefault="00943E0A" w:rsidP="00943E0A">
            <w:pPr>
              <w:ind w:right="170"/>
              <w:jc w:val="right"/>
              <w:rPr>
                <w:iCs/>
                <w:color w:val="005D89"/>
                <w:szCs w:val="18"/>
              </w:rPr>
            </w:pPr>
            <w:r w:rsidRPr="00943E0A">
              <w:t>40</w:t>
            </w:r>
          </w:p>
        </w:tc>
        <w:tc>
          <w:tcPr>
            <w:tcW w:w="808" w:type="dxa"/>
            <w:noWrap/>
            <w:hideMark/>
          </w:tcPr>
          <w:p w:rsidR="00943E0A" w:rsidRPr="00943E0A" w:rsidRDefault="00943E0A" w:rsidP="00943E0A">
            <w:pPr>
              <w:ind w:right="170"/>
              <w:jc w:val="right"/>
            </w:pPr>
            <w:r w:rsidRPr="00943E0A">
              <w:t>47</w:t>
            </w:r>
          </w:p>
        </w:tc>
        <w:tc>
          <w:tcPr>
            <w:tcW w:w="808" w:type="dxa"/>
            <w:noWrap/>
            <w:hideMark/>
          </w:tcPr>
          <w:p w:rsidR="00943E0A" w:rsidRPr="00943E0A" w:rsidRDefault="00943E0A" w:rsidP="00943E0A">
            <w:pPr>
              <w:ind w:right="170"/>
              <w:jc w:val="right"/>
              <w:rPr>
                <w:color w:val="000000" w:themeColor="text1"/>
                <w:sz w:val="16"/>
                <w:szCs w:val="16"/>
              </w:rPr>
            </w:pPr>
            <w:r w:rsidRPr="00943E0A">
              <w:t>43</w:t>
            </w:r>
          </w:p>
        </w:tc>
        <w:tc>
          <w:tcPr>
            <w:tcW w:w="808" w:type="dxa"/>
            <w:noWrap/>
            <w:hideMark/>
          </w:tcPr>
          <w:p w:rsidR="00943E0A" w:rsidRPr="00943E0A" w:rsidRDefault="00943E0A" w:rsidP="00943E0A">
            <w:pPr>
              <w:ind w:right="170"/>
              <w:jc w:val="right"/>
            </w:pPr>
            <w:r w:rsidRPr="00943E0A">
              <w:t>42</w:t>
            </w:r>
          </w:p>
        </w:tc>
        <w:tc>
          <w:tcPr>
            <w:tcW w:w="808" w:type="dxa"/>
            <w:noWrap/>
            <w:hideMark/>
          </w:tcPr>
          <w:p w:rsidR="00943E0A" w:rsidRPr="00943E0A" w:rsidRDefault="00943E0A" w:rsidP="00943E0A">
            <w:pPr>
              <w:ind w:right="170"/>
              <w:jc w:val="right"/>
            </w:pPr>
            <w:r w:rsidRPr="00943E0A">
              <w:t>46</w:t>
            </w:r>
          </w:p>
        </w:tc>
        <w:tc>
          <w:tcPr>
            <w:tcW w:w="809" w:type="dxa"/>
            <w:noWrap/>
            <w:hideMark/>
          </w:tcPr>
          <w:p w:rsidR="00943E0A" w:rsidRPr="00943E0A" w:rsidRDefault="00943E0A" w:rsidP="00943E0A">
            <w:pPr>
              <w:ind w:right="170"/>
              <w:jc w:val="right"/>
            </w:pPr>
            <w:r w:rsidRPr="00943E0A">
              <w:t>53</w:t>
            </w:r>
          </w:p>
        </w:tc>
      </w:tr>
      <w:tr w:rsidR="00943E0A" w:rsidRPr="00943E0A" w:rsidTr="008F0253">
        <w:trPr>
          <w:cnfStyle w:val="000000010000" w:firstRow="0" w:lastRow="0" w:firstColumn="0" w:lastColumn="0" w:oddVBand="0" w:evenVBand="0" w:oddHBand="0" w:evenHBand="1" w:firstRowFirstColumn="0" w:firstRowLastColumn="0" w:lastRowFirstColumn="0" w:lastRowLastColumn="0"/>
          <w:divId w:val="1879463009"/>
          <w:trHeight w:val="255"/>
        </w:trPr>
        <w:tc>
          <w:tcPr>
            <w:tcW w:w="4732" w:type="dxa"/>
            <w:noWrap/>
            <w:hideMark/>
          </w:tcPr>
          <w:p w:rsidR="00943E0A" w:rsidRPr="00943E0A" w:rsidRDefault="00943E0A" w:rsidP="00943E0A">
            <w:pPr>
              <w:jc w:val="left"/>
            </w:pPr>
            <w:r w:rsidRPr="00943E0A">
              <w:t>Zuliefer- bzw. Lieferkettenprobleme</w:t>
            </w:r>
          </w:p>
        </w:tc>
        <w:tc>
          <w:tcPr>
            <w:tcW w:w="808" w:type="dxa"/>
            <w:noWrap/>
            <w:hideMark/>
          </w:tcPr>
          <w:p w:rsidR="00943E0A" w:rsidRPr="00943E0A" w:rsidRDefault="00943E0A" w:rsidP="00943E0A">
            <w:pPr>
              <w:ind w:right="170"/>
              <w:jc w:val="right"/>
            </w:pPr>
          </w:p>
        </w:tc>
        <w:tc>
          <w:tcPr>
            <w:tcW w:w="808" w:type="dxa"/>
            <w:noWrap/>
            <w:hideMark/>
          </w:tcPr>
          <w:p w:rsidR="00943E0A" w:rsidRPr="00943E0A" w:rsidRDefault="00943E0A" w:rsidP="00943E0A">
            <w:pPr>
              <w:ind w:right="170"/>
              <w:jc w:val="right"/>
            </w:pPr>
          </w:p>
        </w:tc>
        <w:tc>
          <w:tcPr>
            <w:tcW w:w="808" w:type="dxa"/>
            <w:noWrap/>
            <w:hideMark/>
          </w:tcPr>
          <w:p w:rsidR="00943E0A" w:rsidRPr="00943E0A" w:rsidRDefault="00943E0A" w:rsidP="00943E0A">
            <w:pPr>
              <w:ind w:right="170"/>
              <w:jc w:val="right"/>
            </w:pPr>
          </w:p>
        </w:tc>
        <w:tc>
          <w:tcPr>
            <w:tcW w:w="808" w:type="dxa"/>
            <w:noWrap/>
            <w:hideMark/>
          </w:tcPr>
          <w:p w:rsidR="00943E0A" w:rsidRPr="00943E0A" w:rsidRDefault="00943E0A" w:rsidP="00943E0A">
            <w:pPr>
              <w:ind w:right="170"/>
              <w:jc w:val="right"/>
              <w:rPr>
                <w:iCs/>
                <w:color w:val="005D89"/>
                <w:szCs w:val="18"/>
              </w:rPr>
            </w:pPr>
            <w:r w:rsidRPr="00943E0A">
              <w:t>43</w:t>
            </w:r>
          </w:p>
        </w:tc>
        <w:tc>
          <w:tcPr>
            <w:tcW w:w="808" w:type="dxa"/>
            <w:noWrap/>
            <w:hideMark/>
          </w:tcPr>
          <w:p w:rsidR="00943E0A" w:rsidRPr="00943E0A" w:rsidRDefault="00943E0A" w:rsidP="00943E0A">
            <w:pPr>
              <w:ind w:right="170"/>
              <w:jc w:val="right"/>
            </w:pPr>
            <w:r w:rsidRPr="00943E0A">
              <w:t>29</w:t>
            </w:r>
          </w:p>
        </w:tc>
        <w:tc>
          <w:tcPr>
            <w:tcW w:w="809" w:type="dxa"/>
            <w:noWrap/>
            <w:hideMark/>
          </w:tcPr>
          <w:p w:rsidR="00943E0A" w:rsidRPr="00943E0A" w:rsidRDefault="00943E0A" w:rsidP="00943E0A">
            <w:pPr>
              <w:ind w:right="170"/>
              <w:jc w:val="right"/>
              <w:rPr>
                <w:color w:val="000000" w:themeColor="text1"/>
                <w:sz w:val="16"/>
                <w:szCs w:val="16"/>
              </w:rPr>
            </w:pPr>
            <w:r w:rsidRPr="00943E0A">
              <w:t>10</w:t>
            </w:r>
          </w:p>
        </w:tc>
      </w:tr>
      <w:tr w:rsidR="00943E0A" w:rsidRPr="00943E0A" w:rsidTr="008F0253">
        <w:trPr>
          <w:cnfStyle w:val="000000100000" w:firstRow="0" w:lastRow="0" w:firstColumn="0" w:lastColumn="0" w:oddVBand="0" w:evenVBand="0" w:oddHBand="1" w:evenHBand="0" w:firstRowFirstColumn="0" w:firstRowLastColumn="0" w:lastRowFirstColumn="0" w:lastRowLastColumn="0"/>
          <w:divId w:val="1879463009"/>
          <w:trHeight w:val="255"/>
        </w:trPr>
        <w:tc>
          <w:tcPr>
            <w:tcW w:w="4732" w:type="dxa"/>
            <w:noWrap/>
            <w:hideMark/>
          </w:tcPr>
          <w:p w:rsidR="00943E0A" w:rsidRPr="00943E0A" w:rsidRDefault="00943E0A" w:rsidP="00943E0A">
            <w:pPr>
              <w:jc w:val="left"/>
            </w:pPr>
            <w:r w:rsidRPr="00943E0A">
              <w:t>Preissteigerungen bei Rohstoffen und Materialien</w:t>
            </w:r>
          </w:p>
        </w:tc>
        <w:tc>
          <w:tcPr>
            <w:tcW w:w="808" w:type="dxa"/>
            <w:noWrap/>
            <w:hideMark/>
          </w:tcPr>
          <w:p w:rsidR="00943E0A" w:rsidRPr="00943E0A" w:rsidRDefault="00943E0A" w:rsidP="00943E0A">
            <w:pPr>
              <w:ind w:right="170"/>
              <w:jc w:val="right"/>
            </w:pPr>
          </w:p>
        </w:tc>
        <w:tc>
          <w:tcPr>
            <w:tcW w:w="808" w:type="dxa"/>
            <w:noWrap/>
            <w:hideMark/>
          </w:tcPr>
          <w:p w:rsidR="00943E0A" w:rsidRPr="00943E0A" w:rsidRDefault="00943E0A" w:rsidP="00943E0A">
            <w:pPr>
              <w:ind w:right="170"/>
              <w:jc w:val="right"/>
            </w:pPr>
          </w:p>
        </w:tc>
        <w:tc>
          <w:tcPr>
            <w:tcW w:w="808" w:type="dxa"/>
            <w:noWrap/>
            <w:hideMark/>
          </w:tcPr>
          <w:p w:rsidR="00943E0A" w:rsidRPr="00943E0A" w:rsidRDefault="00943E0A" w:rsidP="00943E0A">
            <w:pPr>
              <w:ind w:right="170"/>
              <w:jc w:val="right"/>
            </w:pPr>
          </w:p>
        </w:tc>
        <w:tc>
          <w:tcPr>
            <w:tcW w:w="808" w:type="dxa"/>
            <w:noWrap/>
            <w:hideMark/>
          </w:tcPr>
          <w:p w:rsidR="00943E0A" w:rsidRPr="00943E0A" w:rsidRDefault="00943E0A" w:rsidP="00943E0A">
            <w:pPr>
              <w:ind w:right="170"/>
              <w:jc w:val="right"/>
              <w:rPr>
                <w:iCs/>
                <w:color w:val="005D89"/>
                <w:szCs w:val="18"/>
              </w:rPr>
            </w:pPr>
            <w:r w:rsidRPr="00943E0A">
              <w:t>65</w:t>
            </w:r>
          </w:p>
        </w:tc>
        <w:tc>
          <w:tcPr>
            <w:tcW w:w="808" w:type="dxa"/>
            <w:noWrap/>
            <w:hideMark/>
          </w:tcPr>
          <w:p w:rsidR="00943E0A" w:rsidRPr="00943E0A" w:rsidRDefault="00943E0A" w:rsidP="00943E0A">
            <w:pPr>
              <w:ind w:right="170"/>
              <w:jc w:val="right"/>
            </w:pPr>
            <w:r w:rsidRPr="00943E0A">
              <w:t>69</w:t>
            </w:r>
          </w:p>
        </w:tc>
        <w:tc>
          <w:tcPr>
            <w:tcW w:w="809" w:type="dxa"/>
            <w:noWrap/>
            <w:hideMark/>
          </w:tcPr>
          <w:p w:rsidR="00943E0A" w:rsidRPr="00943E0A" w:rsidRDefault="00943E0A" w:rsidP="00943E0A">
            <w:pPr>
              <w:ind w:right="170"/>
              <w:jc w:val="right"/>
              <w:rPr>
                <w:color w:val="000000" w:themeColor="text1"/>
                <w:sz w:val="16"/>
                <w:szCs w:val="16"/>
              </w:rPr>
            </w:pPr>
            <w:r w:rsidRPr="00943E0A">
              <w:t>61</w:t>
            </w:r>
          </w:p>
        </w:tc>
      </w:tr>
      <w:tr w:rsidR="00943E0A" w:rsidRPr="00943E0A" w:rsidTr="008F0253">
        <w:trPr>
          <w:cnfStyle w:val="000000010000" w:firstRow="0" w:lastRow="0" w:firstColumn="0" w:lastColumn="0" w:oddVBand="0" w:evenVBand="0" w:oddHBand="0" w:evenHBand="1" w:firstRowFirstColumn="0" w:firstRowLastColumn="0" w:lastRowFirstColumn="0" w:lastRowLastColumn="0"/>
          <w:divId w:val="1879463009"/>
          <w:trHeight w:val="255"/>
        </w:trPr>
        <w:tc>
          <w:tcPr>
            <w:tcW w:w="4732" w:type="dxa"/>
            <w:noWrap/>
            <w:hideMark/>
          </w:tcPr>
          <w:p w:rsidR="00943E0A" w:rsidRPr="00943E0A" w:rsidRDefault="00943E0A" w:rsidP="00943E0A">
            <w:pPr>
              <w:jc w:val="left"/>
            </w:pPr>
            <w:r w:rsidRPr="00943E0A">
              <w:t>Preissteigerungen bei Energie</w:t>
            </w:r>
          </w:p>
        </w:tc>
        <w:tc>
          <w:tcPr>
            <w:tcW w:w="808" w:type="dxa"/>
            <w:noWrap/>
            <w:hideMark/>
          </w:tcPr>
          <w:p w:rsidR="00943E0A" w:rsidRPr="00943E0A" w:rsidRDefault="00943E0A" w:rsidP="00943E0A">
            <w:pPr>
              <w:ind w:right="170"/>
              <w:jc w:val="right"/>
            </w:pPr>
          </w:p>
        </w:tc>
        <w:tc>
          <w:tcPr>
            <w:tcW w:w="808" w:type="dxa"/>
            <w:noWrap/>
            <w:hideMark/>
          </w:tcPr>
          <w:p w:rsidR="00943E0A" w:rsidRPr="00943E0A" w:rsidRDefault="00943E0A" w:rsidP="00943E0A">
            <w:pPr>
              <w:ind w:right="170"/>
              <w:jc w:val="right"/>
            </w:pPr>
          </w:p>
        </w:tc>
        <w:tc>
          <w:tcPr>
            <w:tcW w:w="808" w:type="dxa"/>
            <w:noWrap/>
            <w:hideMark/>
          </w:tcPr>
          <w:p w:rsidR="00943E0A" w:rsidRPr="00943E0A" w:rsidRDefault="00943E0A" w:rsidP="00943E0A">
            <w:pPr>
              <w:ind w:right="170"/>
              <w:jc w:val="right"/>
            </w:pPr>
          </w:p>
        </w:tc>
        <w:tc>
          <w:tcPr>
            <w:tcW w:w="808" w:type="dxa"/>
            <w:noWrap/>
            <w:hideMark/>
          </w:tcPr>
          <w:p w:rsidR="00943E0A" w:rsidRPr="00943E0A" w:rsidRDefault="00943E0A" w:rsidP="00943E0A">
            <w:pPr>
              <w:ind w:right="170"/>
              <w:jc w:val="right"/>
              <w:rPr>
                <w:iCs/>
                <w:color w:val="005D89"/>
                <w:szCs w:val="18"/>
              </w:rPr>
            </w:pPr>
            <w:r w:rsidRPr="00943E0A">
              <w:t>49</w:t>
            </w:r>
          </w:p>
        </w:tc>
        <w:tc>
          <w:tcPr>
            <w:tcW w:w="808" w:type="dxa"/>
            <w:noWrap/>
            <w:hideMark/>
          </w:tcPr>
          <w:p w:rsidR="00943E0A" w:rsidRPr="00943E0A" w:rsidRDefault="00943E0A" w:rsidP="00943E0A">
            <w:pPr>
              <w:ind w:right="170"/>
              <w:jc w:val="right"/>
            </w:pPr>
            <w:r w:rsidRPr="00943E0A">
              <w:t>63</w:t>
            </w:r>
          </w:p>
        </w:tc>
        <w:tc>
          <w:tcPr>
            <w:tcW w:w="809" w:type="dxa"/>
            <w:noWrap/>
            <w:hideMark/>
          </w:tcPr>
          <w:p w:rsidR="00943E0A" w:rsidRPr="00943E0A" w:rsidRDefault="00943E0A" w:rsidP="00943E0A">
            <w:pPr>
              <w:ind w:right="170"/>
              <w:jc w:val="right"/>
              <w:rPr>
                <w:color w:val="000000" w:themeColor="text1"/>
                <w:sz w:val="16"/>
                <w:szCs w:val="16"/>
              </w:rPr>
            </w:pPr>
            <w:r w:rsidRPr="00943E0A">
              <w:t>50</w:t>
            </w:r>
          </w:p>
        </w:tc>
      </w:tr>
    </w:tbl>
    <w:p w:rsidR="00ED7317" w:rsidRDefault="00ED7317" w:rsidP="00ED7317">
      <w:pPr>
        <w:pStyle w:val="Quelle"/>
      </w:pPr>
      <w:r w:rsidRPr="001B3E96">
        <w:t>Auf Grund der Miteinbeziehung von zusätzlichen Branchen in den Gesamtdurchschnitt sind die Werte ab 2021 mit jenen der Vorjahre nur bedingt vergleichbar bzw. mit Vorsicht zu interpretieren.</w:t>
      </w:r>
    </w:p>
    <w:p w:rsidR="00ED7317" w:rsidRDefault="00ED7317" w:rsidP="00ED7317">
      <w:pPr>
        <w:pStyle w:val="Quelle"/>
      </w:pPr>
      <w:r w:rsidRPr="006D0118">
        <w:t>Quelle: KMU Forschung Austria</w:t>
      </w:r>
    </w:p>
    <w:p w:rsidR="00ED7317" w:rsidRPr="001D5E02" w:rsidRDefault="00ED7317" w:rsidP="001D5E02">
      <w:pPr>
        <w:pStyle w:val="berschrift1"/>
      </w:pPr>
      <w:bookmarkStart w:id="54" w:name="_Toc83113312"/>
      <w:bookmarkStart w:id="55" w:name="_Toc122012105"/>
      <w:bookmarkStart w:id="56" w:name="_Toc162964621"/>
      <w:bookmarkEnd w:id="17"/>
      <w:r w:rsidRPr="001D5E02">
        <w:lastRenderedPageBreak/>
        <w:t xml:space="preserve">Geschäftslage im </w:t>
      </w:r>
      <w:bookmarkEnd w:id="54"/>
      <w:r w:rsidR="00943E0A">
        <w:t>1. Quartal 2024</w:t>
      </w:r>
      <w:bookmarkEnd w:id="55"/>
      <w:bookmarkEnd w:id="56"/>
    </w:p>
    <w:p w:rsidR="00ED7317" w:rsidRPr="001D5E02" w:rsidRDefault="00ED7317" w:rsidP="001D5E02">
      <w:pPr>
        <w:pStyle w:val="berschrift2"/>
      </w:pPr>
      <w:bookmarkStart w:id="57" w:name="_Toc790094"/>
      <w:bookmarkStart w:id="58" w:name="_Toc83113313"/>
      <w:bookmarkStart w:id="59" w:name="_Toc122012106"/>
      <w:bookmarkStart w:id="60" w:name="_Toc162964622"/>
      <w:r w:rsidRPr="001D5E02">
        <w:t>Beurteilung der Geschäftslage</w:t>
      </w:r>
      <w:bookmarkEnd w:id="57"/>
      <w:bookmarkEnd w:id="58"/>
      <w:bookmarkEnd w:id="59"/>
      <w:bookmarkEnd w:id="60"/>
    </w:p>
    <w:p w:rsidR="00ED7317" w:rsidRDefault="00943E0A" w:rsidP="00ED7317">
      <w:pPr>
        <w:spacing w:after="160"/>
      </w:pPr>
      <w:r>
        <w:t>Im 1. Quartal 2024 beurteilen</w:t>
      </w:r>
    </w:p>
    <w:p w:rsidR="00943E0A" w:rsidRDefault="00943E0A" w:rsidP="00943E0A">
      <w:pPr>
        <w:pStyle w:val="Listenabsatz"/>
        <w:numPr>
          <w:ilvl w:val="0"/>
          <w:numId w:val="12"/>
        </w:numPr>
      </w:pPr>
      <w:r>
        <w:t>20 % der Betriebe die Geschäftslage mit „gut“ (Vorjahr: 24 %),</w:t>
      </w:r>
    </w:p>
    <w:p w:rsidR="00943E0A" w:rsidRDefault="00943E0A" w:rsidP="00943E0A">
      <w:pPr>
        <w:pStyle w:val="Listenabsatz"/>
        <w:numPr>
          <w:ilvl w:val="0"/>
          <w:numId w:val="12"/>
        </w:numPr>
      </w:pPr>
      <w:r>
        <w:t>50 % mit „saisonüblich“ (Vorjahr: 53 %) und</w:t>
      </w:r>
    </w:p>
    <w:p w:rsidR="00ED7317" w:rsidRDefault="00943E0A" w:rsidP="00370341">
      <w:pPr>
        <w:pStyle w:val="Listenabsatz"/>
        <w:numPr>
          <w:ilvl w:val="0"/>
          <w:numId w:val="12"/>
        </w:numPr>
      </w:pPr>
      <w:r>
        <w:t>30 % der Betriebe mit „schlecht“ (Vorjahr: 23 %).</w:t>
      </w:r>
    </w:p>
    <w:p w:rsidR="00ED7317" w:rsidRDefault="00943E0A" w:rsidP="00ED7317">
      <w:r>
        <w:t>Per Saldo (Anteil der Betriebe mit guten abzüglich schlechten Beurteilungen) überwiegen die Betriebe mit schlechter Geschäftslage um 10 %-Punkte.</w:t>
      </w:r>
    </w:p>
    <w:p w:rsidR="002439D0" w:rsidRPr="002439D0" w:rsidRDefault="00943E0A" w:rsidP="00ED7317">
      <w:r>
        <w:t xml:space="preserve">Das Stimmungsbarometer liegt somit </w:t>
      </w:r>
      <w:r w:rsidR="001B3E96">
        <w:t xml:space="preserve">deutlich </w:t>
      </w:r>
      <w:r>
        <w:t xml:space="preserve">unter dem </w:t>
      </w:r>
      <w:r w:rsidR="00F94177">
        <w:t>Vorjahresniveau von +1 %-Punkt (1. Quartal </w:t>
      </w:r>
      <w:r>
        <w:t>2023).</w:t>
      </w:r>
    </w:p>
    <w:p w:rsidR="00ED7317" w:rsidRDefault="009F089D" w:rsidP="009F089D">
      <w:pPr>
        <w:pStyle w:val="Beschriftung"/>
      </w:pPr>
      <w:bookmarkStart w:id="61" w:name="_Toc529980767"/>
      <w:bookmarkStart w:id="62" w:name="_Toc121745608"/>
      <w:r>
        <w:t xml:space="preserve">Abb. </w:t>
      </w:r>
      <w:fldSimple w:instr=" SEQ Abb. \* ARABIC ">
        <w:r w:rsidR="00943E0A">
          <w:rPr>
            <w:noProof/>
          </w:rPr>
          <w:t>6</w:t>
        </w:r>
      </w:fldSimple>
      <w:r>
        <w:t xml:space="preserve"> |</w:t>
      </w:r>
      <w:r>
        <w:tab/>
      </w:r>
      <w:r w:rsidR="00ED7317" w:rsidRPr="00BE1D68">
        <w:t>Beurteilung der Geschäftslage</w:t>
      </w:r>
      <w:bookmarkEnd w:id="61"/>
      <w:bookmarkEnd w:id="62"/>
    </w:p>
    <w:p w:rsidR="00ED7317" w:rsidRPr="00874ED7" w:rsidRDefault="008F0253" w:rsidP="00ED7317">
      <w:pPr>
        <w:spacing w:after="0"/>
      </w:pPr>
      <w:r>
        <w:object w:dxaOrig="9526" w:dyaOrig="4815">
          <v:shape id="_x0000_i1030" type="#_x0000_t75" style="width:474pt;height:240pt" o:ole="">
            <v:imagedata r:id="rId38" o:title=""/>
          </v:shape>
          <o:OLEObject Type="Link" ProgID="Excel.Sheet.12" ShapeID="_x0000_i1030" DrawAspect="Content" r:id="rId39" UpdateMode="OnCall">
            <o:LinkType>EnhancedMetaFile</o:LinkType>
            <o:LockedField>false</o:LockedField>
          </o:OLEObject>
        </w:object>
      </w:r>
    </w:p>
    <w:p w:rsidR="00ED7317" w:rsidRPr="00AF6690" w:rsidRDefault="00ED7317" w:rsidP="00AF6690">
      <w:pPr>
        <w:pStyle w:val="Quelle"/>
      </w:pPr>
      <w:r w:rsidRPr="00AF6690">
        <w:t>Anteil der Betriebe, die ihre Geschäftslage gut bzw. schlecht beurteilen, in</w:t>
      </w:r>
      <w:r w:rsidR="00943E0A">
        <w:t> %</w:t>
      </w:r>
      <w:r w:rsidRPr="00AF6690">
        <w:t xml:space="preserve"> sowie Anteil der Betriebe mit guten abzüglich schlechten Beurteilungen in</w:t>
      </w:r>
      <w:r w:rsidR="00943E0A">
        <w:t> %</w:t>
      </w:r>
      <w:r w:rsidRPr="00AF6690">
        <w:t>-Punkten (Saldo)</w:t>
      </w:r>
    </w:p>
    <w:p w:rsidR="00ED7317" w:rsidRPr="00AF6690" w:rsidRDefault="00ED7317" w:rsidP="00AF6690">
      <w:pPr>
        <w:pStyle w:val="Quelle"/>
      </w:pPr>
      <w:r w:rsidRPr="00AF6690">
        <w:t>Quelle: KMU Forschung Austria</w:t>
      </w:r>
    </w:p>
    <w:p w:rsidR="00ED7317" w:rsidRDefault="00ED7317" w:rsidP="00ED7317">
      <w:r w:rsidRPr="00BD7ED7">
        <w:t xml:space="preserve">Im Vergleich zum Vorquartal ist das Stimmungsbarometer </w:t>
      </w:r>
      <w:r w:rsidR="001B3E96" w:rsidRPr="00BD7ED7">
        <w:t>geringfügig</w:t>
      </w:r>
      <w:r w:rsidRPr="00BD7ED7">
        <w:t xml:space="preserve"> gestiegen. </w:t>
      </w:r>
      <w:r w:rsidR="00BD7ED7" w:rsidRPr="00BD7ED7">
        <w:t xml:space="preserve">Der Anteil der Betriebe, die eine gute Geschäftslage melden, ist </w:t>
      </w:r>
      <w:r w:rsidR="00BD7ED7">
        <w:t>leicht</w:t>
      </w:r>
      <w:r w:rsidR="00BD7ED7" w:rsidRPr="00BD7ED7">
        <w:t xml:space="preserve"> von </w:t>
      </w:r>
      <w:r w:rsidR="00BD7ED7">
        <w:t>18 </w:t>
      </w:r>
      <w:r w:rsidR="00BD7ED7" w:rsidRPr="00BD7ED7">
        <w:t>% (</w:t>
      </w:r>
      <w:r w:rsidR="00BD7ED7">
        <w:t>4. </w:t>
      </w:r>
      <w:r w:rsidR="00BD7ED7" w:rsidRPr="00BD7ED7">
        <w:t xml:space="preserve">Quartal 2023) auf </w:t>
      </w:r>
      <w:r w:rsidR="00BD7ED7">
        <w:t>20 </w:t>
      </w:r>
      <w:r w:rsidR="00BD7ED7" w:rsidRPr="00BD7ED7">
        <w:t>% (</w:t>
      </w:r>
      <w:r w:rsidR="00BD7ED7">
        <w:t>1. </w:t>
      </w:r>
      <w:r w:rsidR="00BD7ED7" w:rsidRPr="00BD7ED7">
        <w:t>Quartal 202</w:t>
      </w:r>
      <w:r w:rsidR="00BD7ED7">
        <w:t>4</w:t>
      </w:r>
      <w:r w:rsidR="00BD7ED7" w:rsidRPr="00BD7ED7">
        <w:t xml:space="preserve">) </w:t>
      </w:r>
      <w:r w:rsidR="00BD7ED7">
        <w:t>gestiegen</w:t>
      </w:r>
      <w:r w:rsidR="00BD7ED7" w:rsidRPr="00BD7ED7">
        <w:t xml:space="preserve">. </w:t>
      </w:r>
      <w:r w:rsidR="00F94177">
        <w:t xml:space="preserve">Demgegenüber </w:t>
      </w:r>
      <w:r w:rsidR="00F94177" w:rsidRPr="00BD7ED7">
        <w:t xml:space="preserve">ist </w:t>
      </w:r>
      <w:r w:rsidR="00F94177">
        <w:t>d</w:t>
      </w:r>
      <w:r w:rsidR="00BD7ED7" w:rsidRPr="00BD7ED7">
        <w:t xml:space="preserve">er Anteil der Betriebe mit einer saisonüblichen Geschäftssituation im </w:t>
      </w:r>
      <w:r w:rsidR="00BD7ED7">
        <w:t>1. </w:t>
      </w:r>
      <w:r w:rsidR="00BD7ED7" w:rsidRPr="00BD7ED7">
        <w:t>Quartal 202</w:t>
      </w:r>
      <w:r w:rsidR="00BD7ED7">
        <w:t>4</w:t>
      </w:r>
      <w:r w:rsidR="00BD7ED7" w:rsidRPr="00BD7ED7">
        <w:t xml:space="preserve"> (5</w:t>
      </w:r>
      <w:r w:rsidR="00BD7ED7">
        <w:t>0 </w:t>
      </w:r>
      <w:r w:rsidR="00BD7ED7" w:rsidRPr="00BD7ED7">
        <w:t xml:space="preserve">%) </w:t>
      </w:r>
      <w:r w:rsidR="00BD7ED7">
        <w:t>etwas</w:t>
      </w:r>
      <w:r w:rsidR="00BD7ED7" w:rsidRPr="00BD7ED7">
        <w:t xml:space="preserve"> </w:t>
      </w:r>
      <w:r w:rsidR="00BD7ED7">
        <w:t>niedriger</w:t>
      </w:r>
      <w:r w:rsidR="00BD7ED7" w:rsidRPr="00BD7ED7">
        <w:t xml:space="preserve"> als im </w:t>
      </w:r>
      <w:r w:rsidR="00BD7ED7">
        <w:t>4. </w:t>
      </w:r>
      <w:r w:rsidR="00BD7ED7" w:rsidRPr="00BD7ED7">
        <w:t>Quartal 2023 (</w:t>
      </w:r>
      <w:r w:rsidR="00BD7ED7">
        <w:t>52 </w:t>
      </w:r>
      <w:r w:rsidR="00BD7ED7" w:rsidRPr="00BD7ED7">
        <w:t xml:space="preserve">%). Der Anteil der Betriebe mit einer schlechten Geschäftslage </w:t>
      </w:r>
      <w:r w:rsidR="00BD7ED7">
        <w:t>liegt unverändert bei 30 %</w:t>
      </w:r>
      <w:r w:rsidR="00BD7ED7" w:rsidRPr="00BD7ED7">
        <w:t>.</w:t>
      </w:r>
    </w:p>
    <w:p w:rsidR="001D5E02" w:rsidRDefault="001D5E02">
      <w:pPr>
        <w:spacing w:after="0"/>
        <w:jc w:val="left"/>
        <w:rPr>
          <w:highlight w:val="yellow"/>
        </w:rPr>
      </w:pPr>
      <w:r>
        <w:rPr>
          <w:highlight w:val="yellow"/>
        </w:rPr>
        <w:br w:type="page"/>
      </w:r>
    </w:p>
    <w:p w:rsidR="00ED7317" w:rsidRPr="001D5E02" w:rsidRDefault="00ED7317" w:rsidP="001D5E02">
      <w:pPr>
        <w:pStyle w:val="berschrift2"/>
      </w:pPr>
      <w:bookmarkStart w:id="63" w:name="_Toc790095"/>
      <w:bookmarkStart w:id="64" w:name="_Toc83113314"/>
      <w:bookmarkStart w:id="65" w:name="_Toc122012107"/>
      <w:bookmarkStart w:id="66" w:name="_Toc162964623"/>
      <w:r w:rsidRPr="001D5E02">
        <w:lastRenderedPageBreak/>
        <w:t>Auftragsbestand der investitionsgüternahen Branchen</w:t>
      </w:r>
      <w:bookmarkEnd w:id="63"/>
      <w:bookmarkEnd w:id="64"/>
      <w:bookmarkEnd w:id="65"/>
      <w:bookmarkEnd w:id="66"/>
    </w:p>
    <w:p w:rsidR="00ED7317" w:rsidRDefault="00ED7317" w:rsidP="00ED7317">
      <w:r>
        <w:t xml:space="preserve">In den investitionsgüternahen Branchen (Definition siehe Kapitel „Methodik“) </w:t>
      </w:r>
      <w:r w:rsidR="00943E0A">
        <w:t>ist der durchschnittliche Auftragsbestand im Vergleich zum 1. Quartal 2023 um 11,2 % gesunken.</w:t>
      </w:r>
    </w:p>
    <w:p w:rsidR="00ED7317" w:rsidRPr="007A352D" w:rsidRDefault="00943E0A" w:rsidP="00ED7317">
      <w:r>
        <w:t>72 % des Gesamtauftragsbestandes entfielen im 1. Quartal 2024 auf private/gewerbliche Auftraggeber, 16 % auf öffentliche Bauprojekte, die über Generalunternehmer bzw. Bauträger (Genossenschaften) abgewickelt werden, und 12 % auf Direktvergaben durch Bund, Länder und Gemeinden.</w:t>
      </w:r>
    </w:p>
    <w:p w:rsidR="006E6F9F" w:rsidRDefault="00943E0A" w:rsidP="00ED7317">
      <w:r>
        <w:t>32 % der Betriebe meldeten im 1. Quartal 2024 eine Auslastung von 1 bis 4 Wochen. Bei 23 % lag der Auftragsbestand bei 5 bis 9 Wochen. 23 % verfügten über eine Auslastung von 10 bis 19 Wochen und 18 % über eine Auslastung von 20 und mehr Wochen. 4 % der Betriebe haben keinen Auftragsbestand.</w:t>
      </w:r>
    </w:p>
    <w:p w:rsidR="00ED7317" w:rsidRDefault="00ED7317" w:rsidP="00ED7317">
      <w:r w:rsidRPr="00BD7ED7">
        <w:t xml:space="preserve">Im Vergleich zum </w:t>
      </w:r>
      <w:r w:rsidR="00BD7ED7" w:rsidRPr="00BD7ED7">
        <w:t>1</w:t>
      </w:r>
      <w:r w:rsidRPr="00BD7ED7">
        <w:t>.</w:t>
      </w:r>
      <w:r w:rsidR="00943E0A" w:rsidRPr="00BD7ED7">
        <w:t> Quartal</w:t>
      </w:r>
      <w:r w:rsidRPr="00BD7ED7">
        <w:t xml:space="preserve"> 20</w:t>
      </w:r>
      <w:r w:rsidR="00BD7ED7" w:rsidRPr="00BD7ED7">
        <w:t>23</w:t>
      </w:r>
      <w:r w:rsidRPr="00BD7ED7">
        <w:t xml:space="preserve"> ist der Anteil der Unternehmen mit einem Auftragsbestand von </w:t>
      </w:r>
      <w:r w:rsidR="00BD7ED7" w:rsidRPr="00BD7ED7">
        <w:t>1</w:t>
      </w:r>
      <w:r w:rsidRPr="00BD7ED7">
        <w:t xml:space="preserve"> </w:t>
      </w:r>
      <w:r w:rsidR="00BD7ED7" w:rsidRPr="00BD7ED7">
        <w:t>bis 4</w:t>
      </w:r>
      <w:r w:rsidRPr="00BD7ED7">
        <w:t xml:space="preserve"> Wochen </w:t>
      </w:r>
      <w:r w:rsidR="00BD7ED7" w:rsidRPr="00BD7ED7">
        <w:t>deutlich gestiegen</w:t>
      </w:r>
      <w:r w:rsidRPr="00BD7ED7">
        <w:t>, während der Anteil der Unternehmen mit einem Auftragsbestand von 1</w:t>
      </w:r>
      <w:r w:rsidR="00BD7ED7" w:rsidRPr="00BD7ED7">
        <w:t>0</w:t>
      </w:r>
      <w:r w:rsidR="00F94177">
        <w:t> </w:t>
      </w:r>
      <w:r w:rsidR="00BD7ED7" w:rsidRPr="00BD7ED7">
        <w:t>und mehr</w:t>
      </w:r>
      <w:r w:rsidRPr="00BD7ED7">
        <w:t xml:space="preserve"> Wochen </w:t>
      </w:r>
      <w:r w:rsidR="00BD7ED7" w:rsidRPr="00BD7ED7">
        <w:t>zurückgegangen ist</w:t>
      </w:r>
      <w:r w:rsidRPr="00BD7ED7">
        <w:t>.</w:t>
      </w:r>
      <w:r w:rsidR="00BD7ED7" w:rsidRPr="00BD7ED7">
        <w:t xml:space="preserve"> Der Anteil der Unternehmen ohne Auftragsbestand sowie mit einer Auslastung von 5 bis 9 Wochen hat sich nicht verändert.</w:t>
      </w:r>
    </w:p>
    <w:p w:rsidR="00ED7317" w:rsidRDefault="00D35D8C" w:rsidP="00D35D8C">
      <w:pPr>
        <w:pStyle w:val="Beschriftung"/>
      </w:pPr>
      <w:bookmarkStart w:id="67" w:name="_Toc529980768"/>
      <w:bookmarkStart w:id="68" w:name="_Toc121745609"/>
      <w:r>
        <w:t xml:space="preserve">Abb. </w:t>
      </w:r>
      <w:fldSimple w:instr=" SEQ Abb. \* ARABIC ">
        <w:r w:rsidR="00943E0A">
          <w:rPr>
            <w:noProof/>
          </w:rPr>
          <w:t>7</w:t>
        </w:r>
      </w:fldSimple>
      <w:r>
        <w:t xml:space="preserve"> |</w:t>
      </w:r>
      <w:r>
        <w:tab/>
      </w:r>
      <w:r w:rsidR="00ED7317" w:rsidRPr="00BE1D68">
        <w:t>Auslastung</w:t>
      </w:r>
      <w:bookmarkEnd w:id="67"/>
      <w:bookmarkEnd w:id="68"/>
    </w:p>
    <w:p w:rsidR="00ED7317" w:rsidRDefault="00D35D8C" w:rsidP="00D35D8C">
      <w:pPr>
        <w:pStyle w:val="Beschriftung"/>
      </w:pPr>
      <w:r>
        <w:tab/>
      </w:r>
      <w:r w:rsidR="00ED7317" w:rsidRPr="00BE1D68">
        <w:t>Anteil der Betriebe in Prozent nach Auftragsbestand in Wochen</w:t>
      </w:r>
    </w:p>
    <w:p w:rsidR="00ED7317" w:rsidRDefault="008F0253" w:rsidP="00ED7317">
      <w:r>
        <w:object w:dxaOrig="9526" w:dyaOrig="4245">
          <v:shape id="_x0000_i1031" type="#_x0000_t75" style="width:474pt;height:210pt" o:ole="">
            <v:imagedata r:id="rId40" o:title=""/>
          </v:shape>
          <o:OLEObject Type="Link" ProgID="Excel.Sheet.12" ShapeID="_x0000_i1031" DrawAspect="Content" r:id="rId41" UpdateMode="OnCall">
            <o:LinkType>EnhancedMetaFile</o:LinkType>
            <o:LockedField>false</o:LockedField>
          </o:OLEObject>
        </w:object>
      </w:r>
    </w:p>
    <w:p w:rsidR="00ED7317" w:rsidRDefault="00ED7317" w:rsidP="00ED7317">
      <w:pPr>
        <w:pStyle w:val="Quelle"/>
      </w:pPr>
      <w:r w:rsidRPr="00BE1D68">
        <w:t>Quelle: KMU Forschung Austria</w:t>
      </w:r>
    </w:p>
    <w:p w:rsidR="00ED7317" w:rsidRDefault="00ED7317" w:rsidP="00ED7317">
      <w:pPr>
        <w:jc w:val="left"/>
      </w:pPr>
      <w:r>
        <w:br w:type="page"/>
      </w:r>
    </w:p>
    <w:p w:rsidR="00ED7317" w:rsidRDefault="00943E0A" w:rsidP="00ED7317">
      <w:r>
        <w:lastRenderedPageBreak/>
        <w:t>46 % der Betriebe könnten sofort zusätzliche Aufträge ausführen (Vorjahr: 38 %). 36 % können in drei Monaten zusätzliche Aufträge durchführen (Vorjahr: 38 %), 13 % in sechs Monaten (Vorjahr: 17 %) und 5 % in neun Monaten (Vorjahr: 7 %).</w:t>
      </w:r>
    </w:p>
    <w:p w:rsidR="00ED7317" w:rsidRDefault="00D35D8C" w:rsidP="00D35D8C">
      <w:pPr>
        <w:pStyle w:val="Beschriftung"/>
      </w:pPr>
      <w:bookmarkStart w:id="69" w:name="_Toc121745610"/>
      <w:r>
        <w:t xml:space="preserve">Abb. </w:t>
      </w:r>
      <w:fldSimple w:instr=" SEQ Abb. \* ARABIC ">
        <w:r w:rsidR="00943E0A">
          <w:rPr>
            <w:noProof/>
          </w:rPr>
          <w:t>8</w:t>
        </w:r>
      </w:fldSimple>
      <w:r>
        <w:t xml:space="preserve"> |</w:t>
      </w:r>
      <w:r>
        <w:tab/>
      </w:r>
      <w:r w:rsidR="00ED7317" w:rsidRPr="000B5567">
        <w:t>Verteilung der Betriebe der investitionsgüternahen Branchen in Prozent nach freier Kapazität</w:t>
      </w:r>
      <w:bookmarkEnd w:id="69"/>
    </w:p>
    <w:p w:rsidR="00ED7317" w:rsidRDefault="00D35D8C" w:rsidP="00D35D8C">
      <w:pPr>
        <w:pStyle w:val="Beschriftung"/>
      </w:pPr>
      <w:r>
        <w:tab/>
      </w:r>
      <w:r w:rsidR="00ED7317" w:rsidRPr="00BE1D68">
        <w:t>In welchem Zeitraum könnten zusätzliche Aufträge ausgeführt werden:</w:t>
      </w:r>
    </w:p>
    <w:p w:rsidR="00ED7317" w:rsidRPr="00992B62" w:rsidRDefault="008F0253" w:rsidP="00ED7317">
      <w:r>
        <w:object w:dxaOrig="9526" w:dyaOrig="4815">
          <v:shape id="_x0000_i1032" type="#_x0000_t75" style="width:474pt;height:240pt" o:ole="">
            <v:imagedata r:id="rId42" o:title=""/>
          </v:shape>
          <o:OLEObject Type="Link" ProgID="Excel.Sheet.12" ShapeID="_x0000_i1032" DrawAspect="Content" r:id="rId43" UpdateMode="OnCall">
            <o:LinkType>EnhancedMetaFile</o:LinkType>
            <o:LockedField>false</o:LockedField>
          </o:OLEObject>
        </w:object>
      </w:r>
    </w:p>
    <w:p w:rsidR="00ED7317" w:rsidRDefault="00ED7317" w:rsidP="00ED7317">
      <w:pPr>
        <w:pStyle w:val="Quelle"/>
      </w:pPr>
      <w:r w:rsidRPr="00BE1D68">
        <w:t>Quelle: KMU Forschung Austria</w:t>
      </w:r>
    </w:p>
    <w:p w:rsidR="00ED7317" w:rsidRDefault="00943E0A" w:rsidP="00ED7317">
      <w:r>
        <w:t>Im Vergleich dazu lag im Vorquartal (4. Quartal 2023) der Anteil der Betriebe, die sofort zusätzliche Aufträge ausführen konnten, bei 34 %, in drei Monaten bei 49 %, in sechs Monaten bei 14 % und in neun Monaten bei 3 %.</w:t>
      </w:r>
    </w:p>
    <w:p w:rsidR="00ED7317" w:rsidRPr="001D5E02" w:rsidRDefault="00ED7317" w:rsidP="00A0168B">
      <w:pPr>
        <w:pStyle w:val="berschrift2"/>
        <w:pageBreakBefore/>
      </w:pPr>
      <w:bookmarkStart w:id="70" w:name="_Toc790096"/>
      <w:bookmarkStart w:id="71" w:name="_Toc83113315"/>
      <w:bookmarkStart w:id="72" w:name="_Toc122012108"/>
      <w:bookmarkStart w:id="73" w:name="_Toc162964624"/>
      <w:r w:rsidRPr="001D5E02">
        <w:lastRenderedPageBreak/>
        <w:t>Umsatzentwicklung der konsumnahen Branchen</w:t>
      </w:r>
      <w:bookmarkEnd w:id="70"/>
      <w:bookmarkEnd w:id="71"/>
      <w:bookmarkEnd w:id="72"/>
      <w:bookmarkEnd w:id="73"/>
    </w:p>
    <w:p w:rsidR="00ED7317" w:rsidRDefault="00ED7317" w:rsidP="00ED7317">
      <w:r>
        <w:t xml:space="preserve">Im konsumnahen Bereich (Definition siehe Kapitel „Methodik“) </w:t>
      </w:r>
      <w:r w:rsidR="00943E0A">
        <w:t>verzeichneten im 1. Quartal 2024</w:t>
      </w:r>
    </w:p>
    <w:p w:rsidR="00943E0A" w:rsidRDefault="00943E0A" w:rsidP="00943E0A">
      <w:pPr>
        <w:pStyle w:val="Listenabsatz"/>
        <w:numPr>
          <w:ilvl w:val="0"/>
          <w:numId w:val="13"/>
        </w:numPr>
      </w:pPr>
      <w:r>
        <w:t>17 % der Betriebe Umsatzsteigerungen gegenüber dem 1. Quartal 2023 (Vorjahr: 19 %),</w:t>
      </w:r>
    </w:p>
    <w:p w:rsidR="00943E0A" w:rsidRDefault="00943E0A" w:rsidP="00943E0A">
      <w:pPr>
        <w:pStyle w:val="Listenabsatz"/>
        <w:numPr>
          <w:ilvl w:val="0"/>
          <w:numId w:val="13"/>
        </w:numPr>
      </w:pPr>
      <w:r>
        <w:t>56 % keine Veränderung (Vorjahr: 50 %) und</w:t>
      </w:r>
    </w:p>
    <w:p w:rsidR="00ED7317" w:rsidRPr="007A352D" w:rsidRDefault="00943E0A" w:rsidP="00370341">
      <w:pPr>
        <w:pStyle w:val="Listenabsatz"/>
        <w:numPr>
          <w:ilvl w:val="0"/>
          <w:numId w:val="13"/>
        </w:numPr>
      </w:pPr>
      <w:r>
        <w:t>27 % Umsatzrückgänge (Vorjahr: 31 %).</w:t>
      </w:r>
    </w:p>
    <w:p w:rsidR="00ED7317" w:rsidRDefault="00943E0A" w:rsidP="00ED7317">
      <w:r>
        <w:t>Per Saldo (Anteil der Betriebe mit Umsatzsteigerungen abzüglich Umsatzrückgängen) überwiegen die Betriebe mit Umsatzrückgängen um 10 %-Punkte.</w:t>
      </w:r>
      <w:r w:rsidR="00ED7317">
        <w:t xml:space="preserve"> </w:t>
      </w:r>
    </w:p>
    <w:p w:rsidR="00ED7317" w:rsidRDefault="00943E0A" w:rsidP="00ED7317">
      <w:r>
        <w:t>Im Vergleich zum Vorjahr (1. Quartal 2023, -12 %-Punkte) ist der Saldo nicht mehr so stark negativ.</w:t>
      </w:r>
    </w:p>
    <w:p w:rsidR="00ED7317" w:rsidRDefault="00D35D8C" w:rsidP="00D35D8C">
      <w:pPr>
        <w:pStyle w:val="Beschriftung"/>
      </w:pPr>
      <w:bookmarkStart w:id="74" w:name="_Toc529980770"/>
      <w:bookmarkStart w:id="75" w:name="_Toc121745611"/>
      <w:r>
        <w:t xml:space="preserve">Abb. </w:t>
      </w:r>
      <w:fldSimple w:instr=" SEQ Abb. \* ARABIC ">
        <w:r w:rsidR="00943E0A">
          <w:rPr>
            <w:noProof/>
          </w:rPr>
          <w:t>9</w:t>
        </w:r>
      </w:fldSimple>
      <w:r>
        <w:t xml:space="preserve"> |</w:t>
      </w:r>
      <w:r>
        <w:tab/>
      </w:r>
      <w:r w:rsidR="00ED7317" w:rsidRPr="00F10AF2">
        <w:t>Umsatzentwicklung</w:t>
      </w:r>
      <w:bookmarkEnd w:id="74"/>
      <w:bookmarkEnd w:id="75"/>
    </w:p>
    <w:p w:rsidR="00ED7317" w:rsidRPr="00B62AA1" w:rsidRDefault="008F0253" w:rsidP="00ED7317">
      <w:r>
        <w:object w:dxaOrig="9526" w:dyaOrig="4815">
          <v:shape id="_x0000_i1033" type="#_x0000_t75" style="width:474pt;height:240pt" o:ole="">
            <v:imagedata r:id="rId44" o:title=""/>
          </v:shape>
          <o:OLEObject Type="Link" ProgID="Excel.Sheet.12" ShapeID="_x0000_i1033" DrawAspect="Content" r:id="rId45" UpdateMode="OnCall">
            <o:LinkType>EnhancedMetaFile</o:LinkType>
            <o:LockedField>false</o:LockedField>
          </o:OLEObject>
        </w:object>
      </w:r>
    </w:p>
    <w:p w:rsidR="00ED7317" w:rsidRDefault="00ED7317" w:rsidP="00ED7317">
      <w:pPr>
        <w:pStyle w:val="Quelle"/>
      </w:pPr>
      <w:r w:rsidRPr="00364E1E">
        <w:t>Anteil der Betriebe mit Umsatzsteigerungen bzw. Umsatzrückgängen in</w:t>
      </w:r>
      <w:r w:rsidR="00943E0A">
        <w:t> %</w:t>
      </w:r>
      <w:r w:rsidRPr="00364E1E">
        <w:t xml:space="preserve"> sowie Anteil der Betriebe mit Umsatzsteigerungen abzüglich Umsatzrückgängen in</w:t>
      </w:r>
      <w:r w:rsidR="00943E0A">
        <w:t> %</w:t>
      </w:r>
      <w:r w:rsidRPr="00364E1E">
        <w:t>-Punkten (Saldo)</w:t>
      </w:r>
    </w:p>
    <w:p w:rsidR="00ED7317" w:rsidRPr="00D45C3B" w:rsidRDefault="00ED7317" w:rsidP="00ED7317">
      <w:pPr>
        <w:pStyle w:val="Quelle"/>
      </w:pPr>
      <w:r w:rsidRPr="00D45C3B">
        <w:t>Quelle: KMU Forschung Austria</w:t>
      </w:r>
    </w:p>
    <w:p w:rsidR="00ED7317" w:rsidRDefault="00ED7317" w:rsidP="00ED7317">
      <w:r w:rsidRPr="00BD7ED7">
        <w:t xml:space="preserve">Gegenüber dem </w:t>
      </w:r>
      <w:r w:rsidR="00B93F98">
        <w:t>4</w:t>
      </w:r>
      <w:r w:rsidRPr="00BD7ED7">
        <w:t>.</w:t>
      </w:r>
      <w:r w:rsidR="00943E0A" w:rsidRPr="00BD7ED7">
        <w:t> Quartal</w:t>
      </w:r>
      <w:r w:rsidRPr="00BD7ED7">
        <w:t xml:space="preserve"> 202</w:t>
      </w:r>
      <w:r w:rsidR="00B93F98">
        <w:t>3</w:t>
      </w:r>
      <w:r w:rsidRPr="00BD7ED7">
        <w:t xml:space="preserve"> ist der Anteil an Betrieben mit Umsatzrückgängen </w:t>
      </w:r>
      <w:r w:rsidR="00BD7ED7" w:rsidRPr="00BD7ED7">
        <w:t>stärker gesunken (</w:t>
      </w:r>
      <w:r w:rsidRPr="00BD7ED7">
        <w:t xml:space="preserve">von </w:t>
      </w:r>
      <w:r w:rsidR="00BD7ED7" w:rsidRPr="00BD7ED7">
        <w:t>32</w:t>
      </w:r>
      <w:r w:rsidR="00943E0A" w:rsidRPr="00BD7ED7">
        <w:t> %</w:t>
      </w:r>
      <w:r w:rsidRPr="00BD7ED7">
        <w:t xml:space="preserve"> auf </w:t>
      </w:r>
      <w:r w:rsidR="00BD7ED7" w:rsidRPr="00BD7ED7">
        <w:t>27</w:t>
      </w:r>
      <w:r w:rsidR="00943E0A" w:rsidRPr="00BD7ED7">
        <w:t> %</w:t>
      </w:r>
      <w:r w:rsidR="00BD7ED7" w:rsidRPr="00BD7ED7">
        <w:t>) als jener mit Umsatzsteigerunge</w:t>
      </w:r>
      <w:r w:rsidR="00CC2111">
        <w:t>n (von 18 % auf 1</w:t>
      </w:r>
      <w:r w:rsidR="00BD7ED7" w:rsidRPr="00BD7ED7">
        <w:t>7 %)</w:t>
      </w:r>
      <w:r w:rsidRPr="00BD7ED7">
        <w:t xml:space="preserve">. Gleichzeitig haben </w:t>
      </w:r>
      <w:r w:rsidR="00BD7ED7" w:rsidRPr="00BD7ED7">
        <w:t>deutlich mehr</w:t>
      </w:r>
      <w:r w:rsidRPr="00BD7ED7">
        <w:t xml:space="preserve"> Betriebe (</w:t>
      </w:r>
      <w:r w:rsidR="00BD7ED7" w:rsidRPr="00BD7ED7">
        <w:t>56</w:t>
      </w:r>
      <w:r w:rsidR="00943E0A" w:rsidRPr="00BD7ED7">
        <w:t> %</w:t>
      </w:r>
      <w:r w:rsidRPr="00BD7ED7">
        <w:t xml:space="preserve">) </w:t>
      </w:r>
      <w:r w:rsidR="00CC2111">
        <w:t>als</w:t>
      </w:r>
      <w:r w:rsidR="00CC2111" w:rsidRPr="00BD7ED7">
        <w:t xml:space="preserve"> im Vorquartal (50 %) </w:t>
      </w:r>
      <w:r w:rsidR="00BD7ED7" w:rsidRPr="00BD7ED7">
        <w:t xml:space="preserve">gleichbleibende Umsätze </w:t>
      </w:r>
      <w:r w:rsidRPr="00BD7ED7">
        <w:t>angegeben</w:t>
      </w:r>
      <w:r w:rsidR="00CC2111">
        <w:t>.</w:t>
      </w:r>
      <w:r w:rsidRPr="00BD7ED7">
        <w:t xml:space="preserve"> </w:t>
      </w:r>
      <w:r w:rsidR="00943E0A" w:rsidRPr="00BD7ED7">
        <w:t>Die Situation ist somit besser als im Vorquartal.</w:t>
      </w:r>
    </w:p>
    <w:p w:rsidR="00ED7317" w:rsidRPr="001D5E02" w:rsidRDefault="00ED7317" w:rsidP="001D5E02">
      <w:pPr>
        <w:pStyle w:val="berschrift1"/>
      </w:pPr>
      <w:bookmarkStart w:id="76" w:name="_Toc790097"/>
      <w:bookmarkStart w:id="77" w:name="_Toc83113316"/>
      <w:bookmarkStart w:id="78" w:name="_Toc122012109"/>
      <w:bookmarkStart w:id="79" w:name="_Toc162964625"/>
      <w:r w:rsidRPr="001D5E02">
        <w:lastRenderedPageBreak/>
        <w:t>Erwartungen</w:t>
      </w:r>
      <w:bookmarkEnd w:id="76"/>
      <w:r w:rsidRPr="001D5E02">
        <w:t xml:space="preserve"> für das </w:t>
      </w:r>
      <w:bookmarkEnd w:id="77"/>
      <w:r w:rsidR="00943E0A">
        <w:t>2. Quartal 2024</w:t>
      </w:r>
      <w:bookmarkEnd w:id="78"/>
      <w:bookmarkEnd w:id="79"/>
    </w:p>
    <w:p w:rsidR="00ED7317" w:rsidRPr="001D5E02" w:rsidRDefault="00ED7317" w:rsidP="001D5E02">
      <w:pPr>
        <w:pStyle w:val="berschrift2"/>
      </w:pPr>
      <w:bookmarkStart w:id="80" w:name="_Toc790098"/>
      <w:bookmarkStart w:id="81" w:name="_Toc83113317"/>
      <w:bookmarkStart w:id="82" w:name="_Toc122012110"/>
      <w:bookmarkStart w:id="83" w:name="_Toc162964626"/>
      <w:r w:rsidRPr="001D5E02">
        <w:t>Auftragseingangs-/Umsatzerwartungen</w:t>
      </w:r>
      <w:bookmarkEnd w:id="80"/>
      <w:r w:rsidRPr="0031299D">
        <w:rPr>
          <w:rStyle w:val="Funotenzeichen"/>
        </w:rPr>
        <w:footnoteReference w:id="6"/>
      </w:r>
      <w:bookmarkEnd w:id="81"/>
      <w:bookmarkEnd w:id="82"/>
      <w:bookmarkEnd w:id="83"/>
    </w:p>
    <w:p w:rsidR="00ED7317" w:rsidRDefault="00943E0A" w:rsidP="00ED7317">
      <w:r>
        <w:t>Für das 2. Quartal 2024 erwarten</w:t>
      </w:r>
    </w:p>
    <w:p w:rsidR="00943E0A" w:rsidRDefault="00943E0A" w:rsidP="00943E0A">
      <w:pPr>
        <w:pStyle w:val="Listenabsatz"/>
        <w:numPr>
          <w:ilvl w:val="0"/>
          <w:numId w:val="14"/>
        </w:numPr>
      </w:pPr>
      <w:r>
        <w:t>16 % der Betriebe Steigerungen der Auftragseingänge bzw. Umsätze gegenüber dem 2. Quartal 2023 (Vorjahr: 20 %),</w:t>
      </w:r>
    </w:p>
    <w:p w:rsidR="00943E0A" w:rsidRDefault="00943E0A" w:rsidP="00943E0A">
      <w:pPr>
        <w:pStyle w:val="Listenabsatz"/>
        <w:numPr>
          <w:ilvl w:val="0"/>
          <w:numId w:val="14"/>
        </w:numPr>
      </w:pPr>
      <w:r>
        <w:t>54 % keine Veränderung (Vorjahr: 54 %) und</w:t>
      </w:r>
    </w:p>
    <w:p w:rsidR="00ED7317" w:rsidRPr="007A352D" w:rsidRDefault="00943E0A" w:rsidP="00370341">
      <w:pPr>
        <w:pStyle w:val="Listenabsatz"/>
        <w:numPr>
          <w:ilvl w:val="0"/>
          <w:numId w:val="14"/>
        </w:numPr>
      </w:pPr>
      <w:r>
        <w:t>30 % Rückgänge (Vorjahr: 26 %).</w:t>
      </w:r>
    </w:p>
    <w:p w:rsidR="00ED7317" w:rsidRDefault="00943E0A" w:rsidP="00ED7317">
      <w:r>
        <w:t>Per Saldo (Anteil der Betriebe mit positiven abzüglich negativen Erwartungen) überwiegen die pessimistischen Einschätzungen um 14 %-Punkte.</w:t>
      </w:r>
    </w:p>
    <w:p w:rsidR="00ED7317" w:rsidRDefault="00943E0A" w:rsidP="00ED7317">
      <w:pPr>
        <w:rPr>
          <w:highlight w:val="yellow"/>
        </w:rPr>
      </w:pPr>
      <w:r>
        <w:t xml:space="preserve">Im Vergleich zum Vorjahr (2. Quartal 2023; Saldo: -6 %-Punkte) ist der Pessimismus </w:t>
      </w:r>
      <w:r w:rsidR="00913031">
        <w:t>erheblich</w:t>
      </w:r>
      <w:r w:rsidR="00BD7ED7">
        <w:t xml:space="preserve"> </w:t>
      </w:r>
      <w:r>
        <w:t>höher.</w:t>
      </w:r>
    </w:p>
    <w:p w:rsidR="00ED7317" w:rsidRPr="00D45C3B" w:rsidRDefault="00D35D8C" w:rsidP="00D35D8C">
      <w:pPr>
        <w:pStyle w:val="Beschriftung"/>
      </w:pPr>
      <w:bookmarkStart w:id="84" w:name="_Toc529980771"/>
      <w:bookmarkStart w:id="85" w:name="_Toc121745612"/>
      <w:r>
        <w:t xml:space="preserve">Abb. </w:t>
      </w:r>
      <w:fldSimple w:instr=" SEQ Abb. \* ARABIC ">
        <w:r w:rsidR="00943E0A">
          <w:rPr>
            <w:noProof/>
          </w:rPr>
          <w:t>10</w:t>
        </w:r>
      </w:fldSimple>
      <w:r>
        <w:t xml:space="preserve"> |</w:t>
      </w:r>
      <w:r>
        <w:tab/>
      </w:r>
      <w:r w:rsidR="00ED7317" w:rsidRPr="00D45C3B">
        <w:t>Erwartungen der Unternehmen</w:t>
      </w:r>
      <w:bookmarkEnd w:id="84"/>
      <w:bookmarkEnd w:id="85"/>
    </w:p>
    <w:p w:rsidR="00ED7317" w:rsidRPr="00D45C3B" w:rsidRDefault="008F0253" w:rsidP="00ED7317">
      <w:r>
        <w:object w:dxaOrig="9526" w:dyaOrig="4711">
          <v:shape id="_x0000_i1034" type="#_x0000_t75" style="width:474pt;height:234pt" o:ole="">
            <v:imagedata r:id="rId46" o:title=""/>
          </v:shape>
          <o:OLEObject Type="Link" ProgID="Excel.Sheet.12" ShapeID="_x0000_i1034" DrawAspect="Content" r:id="rId47" UpdateMode="OnCall">
            <o:LinkType>EnhancedMetaFile</o:LinkType>
            <o:LockedField>false</o:LockedField>
          </o:OLEObject>
        </w:object>
      </w:r>
    </w:p>
    <w:p w:rsidR="00ED7317" w:rsidRPr="006C16AA" w:rsidRDefault="00ED7317" w:rsidP="006C16AA">
      <w:pPr>
        <w:pStyle w:val="Quelle"/>
      </w:pPr>
      <w:r w:rsidRPr="006C16AA">
        <w:t>Anteil der Betriebe mit positiven bzw. negativen Erwartungen in</w:t>
      </w:r>
      <w:r w:rsidR="00943E0A">
        <w:t> %</w:t>
      </w:r>
      <w:r w:rsidRPr="006C16AA">
        <w:t xml:space="preserve"> sowie Anteil der Betriebe mit positiven abzüg</w:t>
      </w:r>
      <w:r w:rsidR="00CF7C1D" w:rsidRPr="006C16AA">
        <w:t xml:space="preserve">lich negativen Erwartungen </w:t>
      </w:r>
      <w:r w:rsidR="00CF7C1D" w:rsidRPr="006C16AA">
        <w:br/>
        <w:t>in</w:t>
      </w:r>
      <w:r w:rsidR="00943E0A">
        <w:t> %</w:t>
      </w:r>
      <w:r w:rsidR="00CF7C1D" w:rsidRPr="006C16AA">
        <w:noBreakHyphen/>
      </w:r>
      <w:r w:rsidRPr="006C16AA">
        <w:t>Punkten (Saldo)</w:t>
      </w:r>
    </w:p>
    <w:p w:rsidR="00ED7317" w:rsidRPr="006C16AA" w:rsidRDefault="00310595" w:rsidP="006C16AA">
      <w:pPr>
        <w:pStyle w:val="Quelle"/>
      </w:pPr>
      <w:r w:rsidRPr="00BD7ED7">
        <w:t xml:space="preserve">Anmerkung: </w:t>
      </w:r>
      <w:r w:rsidR="00ED7317" w:rsidRPr="00BD7ED7">
        <w:t>Erwartungen für das 1.</w:t>
      </w:r>
      <w:r w:rsidR="00943E0A" w:rsidRPr="00BD7ED7">
        <w:t> Quartal</w:t>
      </w:r>
      <w:r w:rsidR="00ED7317" w:rsidRPr="00BD7ED7">
        <w:t xml:space="preserve"> 2022 wurden großteils vor dem 4. Lockdown im November/Dezember 2021 abgefragt (Erhebung von Mitte Oktober bis Anfang Dezember).</w:t>
      </w:r>
    </w:p>
    <w:p w:rsidR="00ED7317" w:rsidRPr="006C16AA" w:rsidRDefault="00ED7317" w:rsidP="006C16AA">
      <w:pPr>
        <w:pStyle w:val="Quelle"/>
      </w:pPr>
      <w:r w:rsidRPr="006C16AA">
        <w:t>Quelle: KMU Forschung Austria</w:t>
      </w:r>
    </w:p>
    <w:p w:rsidR="00ED7317" w:rsidRDefault="00BD7ED7" w:rsidP="00ED7317">
      <w:pPr>
        <w:spacing w:after="0"/>
      </w:pPr>
      <w:r w:rsidRPr="00226968">
        <w:t>Der negative Saldo (-</w:t>
      </w:r>
      <w:r>
        <w:t>14</w:t>
      </w:r>
      <w:r w:rsidRPr="00226968">
        <w:t> %</w:t>
      </w:r>
      <w:r w:rsidRPr="00226968">
        <w:noBreakHyphen/>
        <w:t xml:space="preserve">Punkte) liegt </w:t>
      </w:r>
      <w:r w:rsidR="00913031">
        <w:t xml:space="preserve">– ausgehend von einem sehr niedrigen Niveau – </w:t>
      </w:r>
      <w:r w:rsidRPr="00226968">
        <w:t xml:space="preserve">deutlich </w:t>
      </w:r>
      <w:r>
        <w:t>über</w:t>
      </w:r>
      <w:r w:rsidRPr="00226968">
        <w:t xml:space="preserve"> dem Niveau des Vorquartals (-</w:t>
      </w:r>
      <w:r>
        <w:t>26</w:t>
      </w:r>
      <w:r w:rsidRPr="00226968">
        <w:t> %</w:t>
      </w:r>
      <w:r w:rsidRPr="00226968">
        <w:noBreakHyphen/>
        <w:t xml:space="preserve">Punkte). Der Anteil der Betriebe, die mit steigenden Auftragseingängen bzw. Umsätzen rechnen, ist gegenüber dem </w:t>
      </w:r>
      <w:r w:rsidR="00913031">
        <w:t>1</w:t>
      </w:r>
      <w:r>
        <w:t>. </w:t>
      </w:r>
      <w:r w:rsidRPr="00226968">
        <w:t>Quartal 202</w:t>
      </w:r>
      <w:r w:rsidR="00913031">
        <w:t>4</w:t>
      </w:r>
      <w:r w:rsidRPr="00226968">
        <w:t xml:space="preserve"> von 1</w:t>
      </w:r>
      <w:r w:rsidR="00913031">
        <w:t>2</w:t>
      </w:r>
      <w:r w:rsidRPr="00226968">
        <w:t xml:space="preserve"> % auf </w:t>
      </w:r>
      <w:r w:rsidR="00913031">
        <w:t>16</w:t>
      </w:r>
      <w:r w:rsidRPr="00226968">
        <w:t xml:space="preserve"> % </w:t>
      </w:r>
      <w:r w:rsidR="00913031">
        <w:t>gestiegen</w:t>
      </w:r>
      <w:r w:rsidRPr="00226968">
        <w:t>. Der Anteil der Betriebe, die kei</w:t>
      </w:r>
      <w:r>
        <w:t xml:space="preserve">ne Veränderungen erwarten, </w:t>
      </w:r>
      <w:r w:rsidR="00913031">
        <w:t>hat sich</w:t>
      </w:r>
      <w:r w:rsidRPr="00226968">
        <w:t xml:space="preserve"> </w:t>
      </w:r>
      <w:r w:rsidR="00913031">
        <w:t xml:space="preserve">ebenfalls </w:t>
      </w:r>
      <w:r w:rsidRPr="00226968">
        <w:t>von 5</w:t>
      </w:r>
      <w:r w:rsidR="00913031">
        <w:t>0</w:t>
      </w:r>
      <w:r w:rsidRPr="00226968">
        <w:t> % auf 5</w:t>
      </w:r>
      <w:r w:rsidR="00913031">
        <w:t>4</w:t>
      </w:r>
      <w:r w:rsidRPr="00226968">
        <w:t xml:space="preserve"> % </w:t>
      </w:r>
      <w:r w:rsidR="00913031">
        <w:t>erhöht</w:t>
      </w:r>
      <w:r w:rsidRPr="00226968">
        <w:t xml:space="preserve">. Insgesamt erwarten </w:t>
      </w:r>
      <w:r>
        <w:t>weitaus</w:t>
      </w:r>
      <w:r w:rsidRPr="00226968">
        <w:t xml:space="preserve"> </w:t>
      </w:r>
      <w:r w:rsidR="00913031">
        <w:t>weniger</w:t>
      </w:r>
      <w:r w:rsidRPr="00226968">
        <w:t xml:space="preserve"> Betriebe als im Vorquartal Rückgänge.</w:t>
      </w:r>
    </w:p>
    <w:p w:rsidR="00913031" w:rsidRDefault="00913031" w:rsidP="00913031">
      <w:pPr>
        <w:pageBreakBefore/>
      </w:pPr>
      <w:r>
        <w:lastRenderedPageBreak/>
        <w:t xml:space="preserve">Sowohl in den investitionsgüternahen als auch konsumnahen Branchen (Definition siehe Kapitel „Methodik“) sind die Erwartungen für das 2. Quartal 2024 negativ: Im investitionsgüternahen Bereich liegt der Saldo (Anteil der Betriebe mit positiven abzüglich negativen Erwartungen) für das </w:t>
      </w:r>
      <w:r w:rsidR="00B93F98">
        <w:t>2</w:t>
      </w:r>
      <w:r>
        <w:t>. Quartal 2024 mit -23 %-Punkten deutlich stärker im negativen Bereich als bei den konsumnahen Branchen (Saldo: -1 %-Punkt).</w:t>
      </w:r>
    </w:p>
    <w:p w:rsidR="00ED7317" w:rsidRPr="00D45C3B" w:rsidRDefault="00D35D8C" w:rsidP="00D35D8C">
      <w:pPr>
        <w:pStyle w:val="Beschriftung"/>
      </w:pPr>
      <w:bookmarkStart w:id="86" w:name="_Toc121745613"/>
      <w:r>
        <w:t xml:space="preserve">Abb. </w:t>
      </w:r>
      <w:fldSimple w:instr=" SEQ Abb. \* ARABIC ">
        <w:r w:rsidR="00943E0A">
          <w:rPr>
            <w:noProof/>
          </w:rPr>
          <w:t>11</w:t>
        </w:r>
      </w:fldSimple>
      <w:r>
        <w:t xml:space="preserve"> |</w:t>
      </w:r>
      <w:r>
        <w:tab/>
      </w:r>
      <w:r w:rsidR="00ED7317" w:rsidRPr="00AB3138">
        <w:t xml:space="preserve">Erwartungen der Unternehmen insgesamt und differenziert nach </w:t>
      </w:r>
      <w:r w:rsidR="00ED7317">
        <w:t>investitionsgüternahen und konsumnahen Branchen</w:t>
      </w:r>
      <w:bookmarkEnd w:id="86"/>
    </w:p>
    <w:p w:rsidR="00ED7317" w:rsidRPr="00AB3138" w:rsidRDefault="008F0253" w:rsidP="00ED7317">
      <w:r>
        <w:object w:dxaOrig="9526" w:dyaOrig="4815">
          <v:shape id="_x0000_i1035" type="#_x0000_t75" style="width:474pt;height:240pt" o:ole="">
            <v:imagedata r:id="rId48" o:title=""/>
          </v:shape>
          <o:OLEObject Type="Link" ProgID="Excel.Sheet.12" ShapeID="_x0000_i1035" DrawAspect="Content" r:id="rId49" UpdateMode="OnCall">
            <o:LinkType>EnhancedMetaFile</o:LinkType>
            <o:LockedField>false</o:LockedField>
          </o:OLEObject>
        </w:object>
      </w:r>
    </w:p>
    <w:p w:rsidR="00ED7317" w:rsidRPr="00D45C3B" w:rsidRDefault="00ED7317" w:rsidP="00ED7317">
      <w:pPr>
        <w:pStyle w:val="Quelle"/>
      </w:pPr>
      <w:r>
        <w:t xml:space="preserve">Saldo: </w:t>
      </w:r>
      <w:r w:rsidRPr="00364E1E">
        <w:t>Anteil der Betriebe mit positiven abzüglich negativen Erwartungen in</w:t>
      </w:r>
      <w:r w:rsidR="00943E0A">
        <w:t> %</w:t>
      </w:r>
      <w:r>
        <w:t>-Punkten</w:t>
      </w:r>
    </w:p>
    <w:p w:rsidR="00ED7317" w:rsidRDefault="00310595" w:rsidP="00ED7317">
      <w:pPr>
        <w:pStyle w:val="Quelle"/>
      </w:pPr>
      <w:r w:rsidRPr="00913031">
        <w:t xml:space="preserve">Anmerkung: </w:t>
      </w:r>
      <w:r w:rsidR="00ED7317" w:rsidRPr="00913031">
        <w:t>Erwartungen für das 1.</w:t>
      </w:r>
      <w:r w:rsidR="00943E0A" w:rsidRPr="00913031">
        <w:t> Quartal</w:t>
      </w:r>
      <w:r w:rsidR="00ED7317" w:rsidRPr="00913031">
        <w:t xml:space="preserve"> 2022 wurden großteils vor dem 4. Lockdown im November/Dezember 2021 abgefragt (Erhebung von Mitte Oktober bis Anfang Dezember).</w:t>
      </w:r>
    </w:p>
    <w:p w:rsidR="00ED7317" w:rsidRDefault="00ED7317" w:rsidP="00ED7317">
      <w:pPr>
        <w:pStyle w:val="Quelle"/>
      </w:pPr>
      <w:r w:rsidRPr="00D45C3B">
        <w:t>Quelle: KMU Forschung Austria</w:t>
      </w:r>
    </w:p>
    <w:p w:rsidR="00913031" w:rsidRDefault="00913031" w:rsidP="00913031">
      <w:pPr>
        <w:rPr>
          <w:highlight w:val="yellow"/>
        </w:rPr>
      </w:pPr>
      <w:r>
        <w:t xml:space="preserve">Gegenüber </w:t>
      </w:r>
      <w:r w:rsidRPr="00226968">
        <w:t xml:space="preserve">dem Vorquartal hat der Pessimismus </w:t>
      </w:r>
      <w:r w:rsidR="00054889">
        <w:t xml:space="preserve">jedoch </w:t>
      </w:r>
      <w:r w:rsidRPr="00226968">
        <w:t xml:space="preserve">in beiden Bereichen </w:t>
      </w:r>
      <w:r>
        <w:t>abgenommen</w:t>
      </w:r>
      <w:r w:rsidRPr="00226968">
        <w:t>.</w:t>
      </w:r>
    </w:p>
    <w:p w:rsidR="001D5E02" w:rsidRDefault="001D5E02">
      <w:pPr>
        <w:spacing w:after="0"/>
        <w:jc w:val="left"/>
        <w:rPr>
          <w:highlight w:val="yellow"/>
        </w:rPr>
      </w:pPr>
      <w:r>
        <w:rPr>
          <w:highlight w:val="yellow"/>
        </w:rPr>
        <w:br w:type="page"/>
      </w:r>
    </w:p>
    <w:p w:rsidR="00ED7317" w:rsidRPr="001D5E02" w:rsidRDefault="00ED7317" w:rsidP="001D5E02">
      <w:pPr>
        <w:pStyle w:val="berschrift2"/>
      </w:pPr>
      <w:bookmarkStart w:id="87" w:name="_Toc790099"/>
      <w:bookmarkStart w:id="88" w:name="_Toc83113318"/>
      <w:bookmarkStart w:id="89" w:name="_Toc122012111"/>
      <w:bookmarkStart w:id="90" w:name="_Toc162964627"/>
      <w:r w:rsidRPr="001D5E02">
        <w:lastRenderedPageBreak/>
        <w:t>Personalplanung</w:t>
      </w:r>
      <w:bookmarkEnd w:id="87"/>
      <w:bookmarkEnd w:id="88"/>
      <w:bookmarkEnd w:id="89"/>
      <w:bookmarkEnd w:id="90"/>
    </w:p>
    <w:p w:rsidR="00ED7317" w:rsidRDefault="00943E0A" w:rsidP="00ED7317">
      <w:r>
        <w:t>Für den Zeitraum April bis Juni 2024 beabsichtigen</w:t>
      </w:r>
    </w:p>
    <w:p w:rsidR="00943E0A" w:rsidRDefault="00943E0A" w:rsidP="00943E0A">
      <w:pPr>
        <w:pStyle w:val="Listenabsatz"/>
        <w:numPr>
          <w:ilvl w:val="0"/>
          <w:numId w:val="15"/>
        </w:numPr>
      </w:pPr>
      <w:r>
        <w:t>26 % der Betriebe, den Beschäftigtenstand um durchschnittlich 7,6 Personen zu erhöhen (Vorjahr: 31 %),</w:t>
      </w:r>
    </w:p>
    <w:p w:rsidR="00943E0A" w:rsidRDefault="00943E0A" w:rsidP="00943E0A">
      <w:pPr>
        <w:pStyle w:val="Listenabsatz"/>
        <w:numPr>
          <w:ilvl w:val="0"/>
          <w:numId w:val="15"/>
        </w:numPr>
      </w:pPr>
      <w:r>
        <w:t>69 % der Betriebe, den Personalstand konstant zu halten (Vorjahr: 65 %) und</w:t>
      </w:r>
    </w:p>
    <w:p w:rsidR="00ED7317" w:rsidRDefault="00943E0A" w:rsidP="00370341">
      <w:pPr>
        <w:pStyle w:val="Listenabsatz"/>
        <w:numPr>
          <w:ilvl w:val="0"/>
          <w:numId w:val="15"/>
        </w:numPr>
      </w:pPr>
      <w:r>
        <w:t>5 % der Betriebe, die Zahl der Mitarbeiter*innen um durchschnittlich 3,8 Personen zu verringern (Vorjahr: 4 %).</w:t>
      </w:r>
    </w:p>
    <w:p w:rsidR="00ED7317" w:rsidRPr="00CA7847" w:rsidRDefault="00943E0A" w:rsidP="00ED7317">
      <w:r>
        <w:t>Im Durchschnitt ergibt sich daraus eine geplante Erhöhung des Beschäftigtenstandes um 10,0 %.</w:t>
      </w:r>
      <w:r w:rsidR="00ED7317">
        <w:t xml:space="preserve"> </w:t>
      </w:r>
      <w:r>
        <w:t>Der Personalbedarf liegt damit unter dem Niveau des Vergleichsquartals des Vorjahres (+13,0 %).</w:t>
      </w:r>
      <w:r w:rsidR="00ED7317">
        <w:t xml:space="preserve"> </w:t>
      </w:r>
    </w:p>
    <w:p w:rsidR="00ED7317" w:rsidRPr="00364E1E" w:rsidRDefault="00D35D8C" w:rsidP="00D35D8C">
      <w:pPr>
        <w:pStyle w:val="Beschriftung"/>
      </w:pPr>
      <w:bookmarkStart w:id="91" w:name="_Toc529980772"/>
      <w:bookmarkStart w:id="92" w:name="_Toc121745614"/>
      <w:r>
        <w:t xml:space="preserve">Abb. </w:t>
      </w:r>
      <w:fldSimple w:instr=" SEQ Abb. \* ARABIC ">
        <w:r w:rsidR="00943E0A">
          <w:rPr>
            <w:noProof/>
          </w:rPr>
          <w:t>12</w:t>
        </w:r>
      </w:fldSimple>
      <w:r>
        <w:t xml:space="preserve"> |</w:t>
      </w:r>
      <w:r>
        <w:tab/>
      </w:r>
      <w:r w:rsidR="00ED7317" w:rsidRPr="00364E1E">
        <w:t>Personalbedarf</w:t>
      </w:r>
      <w:bookmarkEnd w:id="91"/>
      <w:bookmarkEnd w:id="92"/>
    </w:p>
    <w:p w:rsidR="00ED7317" w:rsidRDefault="00D35D8C" w:rsidP="00D35D8C">
      <w:pPr>
        <w:pStyle w:val="Beschriftung"/>
      </w:pPr>
      <w:r>
        <w:tab/>
      </w:r>
      <w:r w:rsidR="00ED7317" w:rsidRPr="00364E1E">
        <w:t>Geplante Veränderu</w:t>
      </w:r>
      <w:r w:rsidR="00ED7317">
        <w:t xml:space="preserve">ng gegenüber dem Vorquartal in </w:t>
      </w:r>
      <w:r w:rsidR="00ED7317" w:rsidRPr="000B5567">
        <w:t>Prozent</w:t>
      </w:r>
    </w:p>
    <w:p w:rsidR="00ED7317" w:rsidRPr="0044317F" w:rsidRDefault="008F0253" w:rsidP="00ED7317">
      <w:r>
        <w:object w:dxaOrig="9526" w:dyaOrig="4245">
          <v:shape id="_x0000_i1036" type="#_x0000_t75" style="width:474pt;height:210pt" o:ole="">
            <v:imagedata r:id="rId50" o:title=""/>
          </v:shape>
          <o:OLEObject Type="Link" ProgID="Excel.Sheet.12" ShapeID="_x0000_i1036" DrawAspect="Content" r:id="rId51" UpdateMode="OnCall">
            <o:LinkType>EnhancedMetaFile</o:LinkType>
            <o:LockedField>false</o:LockedField>
          </o:OLEObject>
        </w:object>
      </w:r>
    </w:p>
    <w:p w:rsidR="00ED7317" w:rsidRDefault="00ED7317" w:rsidP="00ED7317">
      <w:pPr>
        <w:pStyle w:val="Quelle"/>
        <w:jc w:val="left"/>
      </w:pPr>
      <w:r w:rsidRPr="007037AD">
        <w:t>Anmerkung: Der geplante Personalbedarf für das 1.</w:t>
      </w:r>
      <w:r w:rsidR="00943E0A" w:rsidRPr="007037AD">
        <w:t> Quartal</w:t>
      </w:r>
      <w:r w:rsidRPr="007037AD">
        <w:t xml:space="preserve"> 2022 wurde großteils vor dem 4. Lockdown im November/Dezember 2021 abgefragt (Erhebung von Mitte Oktober bis Anfang Dezember)</w:t>
      </w:r>
    </w:p>
    <w:p w:rsidR="00ED7317" w:rsidRDefault="00ED7317" w:rsidP="00ED7317">
      <w:pPr>
        <w:pStyle w:val="Quelle"/>
      </w:pPr>
      <w:r w:rsidRPr="00BE1D68">
        <w:t>Quelle: KMU Forschung Austria</w:t>
      </w:r>
    </w:p>
    <w:p w:rsidR="00ED7317" w:rsidRPr="001D5E02" w:rsidRDefault="00ED7317" w:rsidP="001D5E02">
      <w:pPr>
        <w:pStyle w:val="berschrift1"/>
      </w:pPr>
      <w:bookmarkStart w:id="93" w:name="_Toc83113319"/>
      <w:bookmarkStart w:id="94" w:name="_Toc122012112"/>
      <w:bookmarkStart w:id="95" w:name="_Toc162964628"/>
      <w:r w:rsidRPr="001D5E02">
        <w:lastRenderedPageBreak/>
        <w:t>Methodik</w:t>
      </w:r>
      <w:bookmarkEnd w:id="93"/>
      <w:bookmarkEnd w:id="94"/>
      <w:bookmarkEnd w:id="95"/>
    </w:p>
    <w:p w:rsidR="00ED7317" w:rsidRDefault="00ED7317" w:rsidP="00ED7317">
      <w:r w:rsidRPr="005A3B0B">
        <w:t xml:space="preserve">Die Ergebnisse der Konjunkturbeobachtung im </w:t>
      </w:r>
      <w:r w:rsidR="00943E0A">
        <w:t>1. Quartal 2024</w:t>
      </w:r>
      <w:r>
        <w:t xml:space="preserve"> </w:t>
      </w:r>
      <w:r w:rsidRPr="005A3B0B">
        <w:t xml:space="preserve">basieren auf den Meldungen von </w:t>
      </w:r>
      <w:r w:rsidR="00943E0A">
        <w:t>3.667</w:t>
      </w:r>
      <w:r w:rsidR="0000158A">
        <w:t> </w:t>
      </w:r>
      <w:r w:rsidRPr="005A3B0B">
        <w:t xml:space="preserve">Betrieben mit </w:t>
      </w:r>
      <w:r w:rsidR="00943E0A">
        <w:t>55.584</w:t>
      </w:r>
      <w:r w:rsidR="0000158A">
        <w:t> </w:t>
      </w:r>
      <w:r w:rsidRPr="005A3B0B">
        <w:t>Beschäftigten.</w:t>
      </w:r>
    </w:p>
    <w:p w:rsidR="00ED7317" w:rsidRDefault="00ED7317" w:rsidP="00ED7317">
      <w:r w:rsidRPr="00042DD7">
        <w:t>Um Verzerrungen in der Stichprobe zu vermeiden, wurden die Daten auf Basis der Struktur der Grundgesamtheit (Anzahl der Betriebe bzw. Anzahl der Beschäf</w:t>
      </w:r>
      <w:r>
        <w:t>tigten nach Beschäftigtengrößen</w:t>
      </w:r>
      <w:r w:rsidRPr="00042DD7">
        <w:t>klassen, Berufsgruppen und Bundesländern) gewichtet.</w:t>
      </w:r>
    </w:p>
    <w:p w:rsidR="00ED7317" w:rsidRDefault="00ED7317" w:rsidP="00ED7317">
      <w:r>
        <w:t>Im Gesamtdurchschnitt des Gewerbe und Handwerks sind folgende Fachverbände beinhaltet:</w:t>
      </w:r>
    </w:p>
    <w:p w:rsidR="00ED7317" w:rsidRDefault="00ED7317" w:rsidP="00D35D8C">
      <w:pPr>
        <w:pStyle w:val="Listenabsatz"/>
        <w:numPr>
          <w:ilvl w:val="0"/>
          <w:numId w:val="16"/>
        </w:numPr>
      </w:pPr>
      <w:r>
        <w:t xml:space="preserve">Investitionsgüternahe Branchen: </w:t>
      </w:r>
    </w:p>
    <w:p w:rsidR="00ED7317" w:rsidRDefault="00ED7317" w:rsidP="00D35D8C">
      <w:pPr>
        <w:pStyle w:val="Listenabsatz"/>
        <w:numPr>
          <w:ilvl w:val="1"/>
          <w:numId w:val="16"/>
        </w:numPr>
      </w:pPr>
      <w:r>
        <w:t>Bau</w:t>
      </w:r>
    </w:p>
    <w:p w:rsidR="00ED7317" w:rsidRDefault="00ED7317" w:rsidP="00D35D8C">
      <w:pPr>
        <w:pStyle w:val="Listenabsatz"/>
        <w:numPr>
          <w:ilvl w:val="1"/>
          <w:numId w:val="16"/>
        </w:numPr>
      </w:pPr>
      <w:r>
        <w:t>Dachdecker, Glaser und Spengler</w:t>
      </w:r>
    </w:p>
    <w:p w:rsidR="00ED7317" w:rsidRDefault="00ED7317" w:rsidP="00D35D8C">
      <w:pPr>
        <w:pStyle w:val="Listenabsatz"/>
        <w:numPr>
          <w:ilvl w:val="1"/>
          <w:numId w:val="16"/>
        </w:numPr>
      </w:pPr>
      <w:r>
        <w:t>Hafner, Platten- und Fliesenleger und Keramiker</w:t>
      </w:r>
    </w:p>
    <w:p w:rsidR="00ED7317" w:rsidRDefault="00ED7317" w:rsidP="00D35D8C">
      <w:pPr>
        <w:pStyle w:val="Listenabsatz"/>
        <w:numPr>
          <w:ilvl w:val="1"/>
          <w:numId w:val="16"/>
        </w:numPr>
      </w:pPr>
      <w:r>
        <w:t>Maler und Tapezierer</w:t>
      </w:r>
    </w:p>
    <w:p w:rsidR="00ED7317" w:rsidRDefault="00ED7317" w:rsidP="00D35D8C">
      <w:pPr>
        <w:pStyle w:val="Listenabsatz"/>
        <w:numPr>
          <w:ilvl w:val="1"/>
          <w:numId w:val="16"/>
        </w:numPr>
      </w:pPr>
      <w:r>
        <w:t>Bauhilfsgewerbe</w:t>
      </w:r>
    </w:p>
    <w:p w:rsidR="00ED7317" w:rsidRDefault="00ED7317" w:rsidP="00D35D8C">
      <w:pPr>
        <w:pStyle w:val="Listenabsatz"/>
        <w:numPr>
          <w:ilvl w:val="1"/>
          <w:numId w:val="16"/>
        </w:numPr>
      </w:pPr>
      <w:r>
        <w:t>Holzbau</w:t>
      </w:r>
    </w:p>
    <w:p w:rsidR="00ED7317" w:rsidRDefault="00ED7317" w:rsidP="00D35D8C">
      <w:pPr>
        <w:pStyle w:val="Listenabsatz"/>
        <w:numPr>
          <w:ilvl w:val="1"/>
          <w:numId w:val="16"/>
        </w:numPr>
      </w:pPr>
      <w:r>
        <w:t>Tischler und Holzgestaltende Gewerbe</w:t>
      </w:r>
    </w:p>
    <w:p w:rsidR="00ED7317" w:rsidRDefault="00ED7317" w:rsidP="00D35D8C">
      <w:pPr>
        <w:pStyle w:val="Listenabsatz"/>
        <w:numPr>
          <w:ilvl w:val="1"/>
          <w:numId w:val="16"/>
        </w:numPr>
      </w:pPr>
      <w:r>
        <w:t>Metalltechniker</w:t>
      </w:r>
    </w:p>
    <w:p w:rsidR="00ED7317" w:rsidRDefault="00ED7317" w:rsidP="00D35D8C">
      <w:pPr>
        <w:pStyle w:val="Listenabsatz"/>
        <w:numPr>
          <w:ilvl w:val="1"/>
          <w:numId w:val="16"/>
        </w:numPr>
      </w:pPr>
      <w:r>
        <w:t>Sanitär-, Heizungs- und Lüftungstechniker</w:t>
      </w:r>
    </w:p>
    <w:p w:rsidR="00ED7317" w:rsidRDefault="00ED7317" w:rsidP="00D35D8C">
      <w:pPr>
        <w:pStyle w:val="Listenabsatz"/>
        <w:numPr>
          <w:ilvl w:val="1"/>
          <w:numId w:val="16"/>
        </w:numPr>
      </w:pPr>
      <w:r>
        <w:t>Elektro-, Gebäude-, Alarm- und Kommunikationstechniker</w:t>
      </w:r>
    </w:p>
    <w:p w:rsidR="00ED7317" w:rsidRDefault="00ED7317" w:rsidP="00D35D8C">
      <w:pPr>
        <w:pStyle w:val="Listenabsatz"/>
        <w:numPr>
          <w:ilvl w:val="1"/>
          <w:numId w:val="16"/>
        </w:numPr>
      </w:pPr>
      <w:r>
        <w:t>Kunststoffverarbeiter</w:t>
      </w:r>
    </w:p>
    <w:p w:rsidR="00ED7317" w:rsidRDefault="00ED7317" w:rsidP="00D35D8C">
      <w:pPr>
        <w:pStyle w:val="Listenabsatz"/>
        <w:numPr>
          <w:ilvl w:val="1"/>
          <w:numId w:val="16"/>
        </w:numPr>
      </w:pPr>
      <w:r>
        <w:t>Gärtner und Floristen</w:t>
      </w:r>
    </w:p>
    <w:p w:rsidR="00ED7317" w:rsidRDefault="00ED7317" w:rsidP="00D35D8C">
      <w:pPr>
        <w:pStyle w:val="Listenabsatz"/>
        <w:numPr>
          <w:ilvl w:val="1"/>
          <w:numId w:val="16"/>
        </w:numPr>
      </w:pPr>
      <w:r>
        <w:t>Chemisches Gewerbe und Denkmal-, Fassaden- und Gebäudereiniger</w:t>
      </w:r>
    </w:p>
    <w:p w:rsidR="00ED7317" w:rsidRDefault="00ED7317" w:rsidP="00D35D8C">
      <w:pPr>
        <w:pStyle w:val="Listenabsatz"/>
        <w:numPr>
          <w:ilvl w:val="0"/>
          <w:numId w:val="16"/>
        </w:numPr>
      </w:pPr>
      <w:r>
        <w:t xml:space="preserve">Konsumnahe Branchen: </w:t>
      </w:r>
    </w:p>
    <w:p w:rsidR="00ED7317" w:rsidRDefault="00ED7317" w:rsidP="00D35D8C">
      <w:pPr>
        <w:pStyle w:val="Listenabsatz"/>
        <w:numPr>
          <w:ilvl w:val="1"/>
          <w:numId w:val="16"/>
        </w:numPr>
      </w:pPr>
      <w:r>
        <w:t>Mechatroniker</w:t>
      </w:r>
    </w:p>
    <w:p w:rsidR="00ED7317" w:rsidRDefault="00ED7317" w:rsidP="00D35D8C">
      <w:pPr>
        <w:pStyle w:val="Listenabsatz"/>
        <w:numPr>
          <w:ilvl w:val="1"/>
          <w:numId w:val="16"/>
        </w:numPr>
      </w:pPr>
      <w:r>
        <w:t>Fahrzeugtechnik</w:t>
      </w:r>
    </w:p>
    <w:p w:rsidR="00ED7317" w:rsidRDefault="00ED7317" w:rsidP="00D35D8C">
      <w:pPr>
        <w:pStyle w:val="Listenabsatz"/>
        <w:numPr>
          <w:ilvl w:val="1"/>
          <w:numId w:val="16"/>
        </w:numPr>
      </w:pPr>
      <w:r>
        <w:t>Kunsthandwerke</w:t>
      </w:r>
    </w:p>
    <w:p w:rsidR="00ED7317" w:rsidRDefault="00ED7317" w:rsidP="00D35D8C">
      <w:pPr>
        <w:pStyle w:val="Listenabsatz"/>
        <w:numPr>
          <w:ilvl w:val="1"/>
          <w:numId w:val="16"/>
        </w:numPr>
      </w:pPr>
      <w:r>
        <w:t>Mode und Bekleidungstechnik</w:t>
      </w:r>
    </w:p>
    <w:p w:rsidR="00ED7317" w:rsidRDefault="00ED7317" w:rsidP="00D35D8C">
      <w:pPr>
        <w:pStyle w:val="Listenabsatz"/>
        <w:numPr>
          <w:ilvl w:val="1"/>
          <w:numId w:val="16"/>
        </w:numPr>
      </w:pPr>
      <w:r>
        <w:t>Gesundheitsberufe</w:t>
      </w:r>
    </w:p>
    <w:p w:rsidR="00ED7317" w:rsidRDefault="00ED7317" w:rsidP="00D35D8C">
      <w:pPr>
        <w:pStyle w:val="Listenabsatz"/>
        <w:numPr>
          <w:ilvl w:val="1"/>
          <w:numId w:val="16"/>
        </w:numPr>
      </w:pPr>
      <w:r>
        <w:t>Lebensmittelgewerbe</w:t>
      </w:r>
    </w:p>
    <w:p w:rsidR="00ED7317" w:rsidRDefault="00ED7317" w:rsidP="00D35D8C">
      <w:pPr>
        <w:pStyle w:val="Listenabsatz"/>
        <w:numPr>
          <w:ilvl w:val="1"/>
          <w:numId w:val="16"/>
        </w:numPr>
      </w:pPr>
      <w:r>
        <w:t>Fußpfleger, Kosmetiker und Masseure</w:t>
      </w:r>
    </w:p>
    <w:p w:rsidR="00ED7317" w:rsidRDefault="00ED7317" w:rsidP="00D35D8C">
      <w:pPr>
        <w:pStyle w:val="Listenabsatz"/>
        <w:numPr>
          <w:ilvl w:val="1"/>
          <w:numId w:val="16"/>
        </w:numPr>
      </w:pPr>
      <w:r>
        <w:t>Fotografen</w:t>
      </w:r>
    </w:p>
    <w:p w:rsidR="00ED7317" w:rsidRDefault="00ED7317" w:rsidP="00D35D8C">
      <w:pPr>
        <w:pStyle w:val="Listenabsatz"/>
        <w:numPr>
          <w:ilvl w:val="1"/>
          <w:numId w:val="16"/>
        </w:numPr>
      </w:pPr>
      <w:r>
        <w:t>Friseure</w:t>
      </w:r>
    </w:p>
    <w:p w:rsidR="00176ADF" w:rsidRDefault="00ED7317" w:rsidP="00370341">
      <w:pPr>
        <w:pStyle w:val="Listenabsatz"/>
        <w:numPr>
          <w:ilvl w:val="1"/>
          <w:numId w:val="16"/>
        </w:numPr>
      </w:pPr>
      <w:r w:rsidRPr="00FD3929">
        <w:t>Personaldienstleister und Sicherheitsgewerbe</w:t>
      </w:r>
    </w:p>
    <w:p w:rsidR="00C6677E" w:rsidRDefault="00C6677E" w:rsidP="00176ADF">
      <w:pPr>
        <w:sectPr w:rsidR="00C6677E" w:rsidSect="009F3AA5">
          <w:headerReference w:type="even" r:id="rId52"/>
          <w:headerReference w:type="first" r:id="rId53"/>
          <w:footerReference w:type="first" r:id="rId54"/>
          <w:pgSz w:w="11906" w:h="16838"/>
          <w:pgMar w:top="1531" w:right="964" w:bottom="1077" w:left="964" w:header="709" w:footer="454" w:gutter="397"/>
          <w:cols w:space="708"/>
          <w:docGrid w:linePitch="360"/>
        </w:sectPr>
      </w:pPr>
    </w:p>
    <w:p w:rsidR="008D373F" w:rsidRPr="003060B7" w:rsidRDefault="008D373F" w:rsidP="00E33479"/>
    <w:sectPr w:rsidR="008D373F" w:rsidRPr="003060B7" w:rsidSect="00A36291">
      <w:headerReference w:type="even" r:id="rId55"/>
      <w:headerReference w:type="default" r:id="rId56"/>
      <w:footerReference w:type="even" r:id="rId57"/>
      <w:footerReference w:type="default" r:id="rId58"/>
      <w:pgSz w:w="11906" w:h="16838"/>
      <w:pgMar w:top="1531" w:right="3232" w:bottom="1077" w:left="964" w:header="709" w:footer="454" w:gutter="397"/>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0217DF" w:rsidRDefault="000217DF" w:rsidP="009B7C79">
      <w:pPr>
        <w:spacing w:after="0"/>
      </w:pPr>
      <w:r>
        <w:separator/>
      </w:r>
    </w:p>
    <w:p w:rsidR="000217DF" w:rsidRDefault="000217DF"/>
  </w:endnote>
  <w:endnote w:type="continuationSeparator" w:id="0">
    <w:p w:rsidR="000217DF" w:rsidRDefault="000217DF" w:rsidP="009B7C79">
      <w:pPr>
        <w:spacing w:after="0"/>
      </w:pPr>
      <w:r>
        <w:continuationSeparator/>
      </w:r>
    </w:p>
    <w:p w:rsidR="000217DF" w:rsidRDefault="000217DF"/>
  </w:endnote>
  <w:endnote w:type="continuationNotice" w:id="1">
    <w:p w:rsidR="000217DF" w:rsidRDefault="000217DF">
      <w:pPr>
        <w:spacing w:after="0"/>
      </w:pPr>
    </w:p>
    <w:p w:rsidR="000217DF" w:rsidRDefault="000217DF"/>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Light">
    <w:panose1 w:val="020F03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Times New Roman (Überschriften">
    <w:altName w:val="Times New Roman"/>
    <w:panose1 w:val="00000000000000000000"/>
    <w:charset w:val="00"/>
    <w:family w:val="roman"/>
    <w:notTrueType/>
    <w:pitch w:val="default"/>
  </w:font>
  <w:font w:name="Calibri (Textkörper)">
    <w:altName w:val="Calibri"/>
    <w:panose1 w:val="00000000000000000000"/>
    <w:charset w:val="00"/>
    <w:family w:val="roman"/>
    <w:notTrueType/>
    <w:pitch w:val="default"/>
  </w:font>
  <w:font w:name="Times New Roman (Textkörper CS)">
    <w:altName w:val="Times New Roman"/>
    <w:charset w:val="00"/>
    <w:family w:val="roman"/>
    <w:pitch w:val="default"/>
  </w:font>
  <w:font w:name="Calibri Light (Überschriften)">
    <w:altName w:val="Calibri Light"/>
    <w:panose1 w:val="00000000000000000000"/>
    <w:charset w:val="00"/>
    <w:family w:val="roman"/>
    <w:notTrueType/>
    <w:pitch w:val="default"/>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217DF" w:rsidRPr="001736E2" w:rsidRDefault="000217DF" w:rsidP="001736E2">
    <w:pPr>
      <w:pStyle w:val="Fuzeile"/>
      <w:tabs>
        <w:tab w:val="right" w:pos="10943"/>
      </w:tabs>
      <w:adjustRightInd w:val="0"/>
      <w:jc w:val="right"/>
    </w:pPr>
    <w:r w:rsidRPr="009513B7">
      <w:rPr>
        <w:color w:val="005D89"/>
        <w:sz w:val="32"/>
        <w:szCs w:val="52"/>
      </w:rPr>
      <w:fldChar w:fldCharType="begin"/>
    </w:r>
    <w:r w:rsidRPr="009513B7">
      <w:rPr>
        <w:color w:val="005D89"/>
        <w:sz w:val="32"/>
        <w:szCs w:val="52"/>
      </w:rPr>
      <w:instrText xml:space="preserve"> PAGE  \* MERGEFORMAT </w:instrText>
    </w:r>
    <w:r w:rsidRPr="009513B7">
      <w:rPr>
        <w:color w:val="005D89"/>
        <w:sz w:val="32"/>
        <w:szCs w:val="52"/>
      </w:rPr>
      <w:fldChar w:fldCharType="separate"/>
    </w:r>
    <w:r w:rsidR="00D2237B">
      <w:rPr>
        <w:noProof/>
        <w:color w:val="005D89"/>
        <w:sz w:val="32"/>
        <w:szCs w:val="52"/>
      </w:rPr>
      <w:t>4</w:t>
    </w:r>
    <w:r w:rsidRPr="009513B7">
      <w:rPr>
        <w:color w:val="005D89"/>
        <w:sz w:val="32"/>
        <w:szCs w:val="52"/>
      </w:rPr>
      <w:fldChar w:fldCharType="end"/>
    </w:r>
    <w:r w:rsidRPr="009F3AA5">
      <w:tab/>
      <w:t xml:space="preserve">Konjunkturbeobachtung Gewerbe und Handwerk, </w:t>
    </w:r>
    <w:r>
      <w:t>Österreich, Gesamtjahr 2023 und 1. Quartal 2024</w:t>
    </w: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217DF" w:rsidRPr="002B191D" w:rsidRDefault="000217DF" w:rsidP="002B191D">
    <w:pPr>
      <w:pStyle w:val="Fuzeile"/>
      <w:tabs>
        <w:tab w:val="right" w:pos="10943"/>
      </w:tabs>
      <w:adjustRightInd w:val="0"/>
      <w:jc w:val="right"/>
    </w:pPr>
    <w:r w:rsidRPr="009513B7">
      <w:rPr>
        <w:color w:val="005D89"/>
        <w:sz w:val="32"/>
        <w:szCs w:val="52"/>
      </w:rPr>
      <w:fldChar w:fldCharType="begin"/>
    </w:r>
    <w:r w:rsidRPr="009513B7">
      <w:rPr>
        <w:color w:val="005D89"/>
        <w:sz w:val="32"/>
        <w:szCs w:val="52"/>
      </w:rPr>
      <w:instrText xml:space="preserve"> PAGE  \* MERGEFORMAT </w:instrText>
    </w:r>
    <w:r w:rsidRPr="009513B7">
      <w:rPr>
        <w:color w:val="005D89"/>
        <w:sz w:val="32"/>
        <w:szCs w:val="52"/>
      </w:rPr>
      <w:fldChar w:fldCharType="separate"/>
    </w:r>
    <w:r w:rsidR="00D2237B">
      <w:rPr>
        <w:noProof/>
        <w:color w:val="005D89"/>
        <w:sz w:val="32"/>
        <w:szCs w:val="52"/>
      </w:rPr>
      <w:t>3</w:t>
    </w:r>
    <w:r w:rsidRPr="009513B7">
      <w:rPr>
        <w:color w:val="005D89"/>
        <w:sz w:val="32"/>
        <w:szCs w:val="52"/>
      </w:rPr>
      <w:fldChar w:fldCharType="end"/>
    </w:r>
    <w:r>
      <w:t>/</w:t>
    </w:r>
    <w:fldSimple w:instr=" NUMPAGES   \* MERGEFORMAT ">
      <w:r w:rsidR="00D2237B">
        <w:rPr>
          <w:noProof/>
        </w:rPr>
        <w:t>19</w:t>
      </w:r>
    </w:fldSimple>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217DF" w:rsidRPr="00251B99" w:rsidRDefault="000217DF" w:rsidP="00EF1F7B">
    <w:pPr>
      <w:pStyle w:val="DeckblattFusszeile"/>
    </w:pPr>
    <w:r w:rsidRPr="00251B99">
      <w:t>Mehr Informationen unter www.kmuforschung.ac.at</w:t>
    </w:r>
  </w:p>
</w:ftr>
</file>

<file path=word/footer4.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217DF" w:rsidRPr="00C73DEA" w:rsidRDefault="000217DF" w:rsidP="00C73DEA">
    <w:pPr>
      <w:pStyle w:val="Fuzeile"/>
      <w:ind w:left="-2268"/>
      <w:jc w:val="right"/>
    </w:pPr>
    <w:r w:rsidRPr="009513B7">
      <w:rPr>
        <w:color w:val="005D89"/>
        <w:sz w:val="32"/>
        <w:szCs w:val="52"/>
      </w:rPr>
      <w:fldChar w:fldCharType="begin"/>
    </w:r>
    <w:r w:rsidRPr="009513B7">
      <w:rPr>
        <w:color w:val="005D89"/>
        <w:sz w:val="32"/>
        <w:szCs w:val="52"/>
      </w:rPr>
      <w:instrText xml:space="preserve"> PAGE  \* MERGEFORMAT </w:instrText>
    </w:r>
    <w:r w:rsidRPr="009513B7">
      <w:rPr>
        <w:color w:val="005D89"/>
        <w:sz w:val="32"/>
        <w:szCs w:val="52"/>
      </w:rPr>
      <w:fldChar w:fldCharType="separate"/>
    </w:r>
    <w:r>
      <w:rPr>
        <w:noProof/>
        <w:color w:val="005D89"/>
        <w:sz w:val="32"/>
        <w:szCs w:val="52"/>
      </w:rPr>
      <w:t>2</w:t>
    </w:r>
    <w:r w:rsidRPr="009513B7">
      <w:rPr>
        <w:color w:val="005D89"/>
        <w:sz w:val="32"/>
        <w:szCs w:val="52"/>
      </w:rPr>
      <w:fldChar w:fldCharType="end"/>
    </w:r>
    <w:r>
      <w:ptab w:relativeTo="margin" w:alignment="center" w:leader="none"/>
    </w:r>
    <w:r>
      <w:ptab w:relativeTo="margin" w:alignment="right" w:leader="none"/>
    </w:r>
    <w:sdt>
      <w:sdtPr>
        <w:alias w:val="Titel"/>
        <w:tag w:val=""/>
        <w:id w:val="1948042069"/>
        <w:placeholder>
          <w:docPart w:val="B3204DA62A9840D79E2CC77126BF7064"/>
        </w:placeholder>
        <w:showingPlcHdr/>
        <w:dataBinding w:prefixMappings="xmlns:ns0='http://purl.org/dc/elements/1.1/' xmlns:ns1='http://schemas.openxmlformats.org/package/2006/metadata/core-properties' " w:xpath="/ns1:coreProperties[1]/ns0:title[1]" w:storeItemID="{6C3C8BC8-F283-45AE-878A-BAB7291924A1}"/>
        <w:text/>
      </w:sdtPr>
      <w:sdtEndPr/>
      <w:sdtContent>
        <w:r w:rsidRPr="008F75B2">
          <w:rPr>
            <w:rStyle w:val="Platzhaltertext"/>
          </w:rPr>
          <w:t>[Titel]</w:t>
        </w:r>
      </w:sdtContent>
    </w:sdt>
  </w:p>
</w:ftr>
</file>

<file path=word/footer5.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217DF" w:rsidRPr="00BC162E" w:rsidRDefault="000217DF" w:rsidP="00DC3B81">
    <w:pPr>
      <w:pStyle w:val="Fuzeile"/>
      <w:ind w:left="-2268"/>
      <w:jc w:val="right"/>
    </w:pPr>
  </w:p>
</w:ftr>
</file>

<file path=word/footer6.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217DF" w:rsidRPr="00D9189D" w:rsidRDefault="000217DF" w:rsidP="009762C4">
    <w:pPr>
      <w:pStyle w:val="Fuzeile"/>
      <w:tabs>
        <w:tab w:val="right" w:pos="10943"/>
      </w:tabs>
      <w:adjustRightInd w:val="0"/>
      <w:ind w:right="-2268"/>
      <w:jc w:val="right"/>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0217DF" w:rsidRDefault="000217DF" w:rsidP="009B7C79">
      <w:pPr>
        <w:spacing w:after="0"/>
      </w:pPr>
      <w:r>
        <w:separator/>
      </w:r>
    </w:p>
    <w:p w:rsidR="000217DF" w:rsidRDefault="000217DF"/>
  </w:footnote>
  <w:footnote w:type="continuationSeparator" w:id="0">
    <w:p w:rsidR="000217DF" w:rsidRDefault="000217DF" w:rsidP="009B7C79">
      <w:pPr>
        <w:spacing w:after="0"/>
      </w:pPr>
      <w:r>
        <w:continuationSeparator/>
      </w:r>
    </w:p>
    <w:p w:rsidR="000217DF" w:rsidRDefault="000217DF"/>
  </w:footnote>
  <w:footnote w:type="continuationNotice" w:id="1">
    <w:p w:rsidR="000217DF" w:rsidRDefault="000217DF">
      <w:pPr>
        <w:spacing w:after="0"/>
      </w:pPr>
    </w:p>
    <w:p w:rsidR="000217DF" w:rsidRDefault="000217DF"/>
  </w:footnote>
  <w:footnote w:id="2">
    <w:p w:rsidR="000217DF" w:rsidRDefault="000217DF" w:rsidP="00ED7317">
      <w:pPr>
        <w:pStyle w:val="Funotentext"/>
      </w:pPr>
      <w:r>
        <w:rPr>
          <w:rStyle w:val="Funotenzeichen"/>
        </w:rPr>
        <w:footnoteRef/>
      </w:r>
      <w:r>
        <w:tab/>
      </w:r>
      <w:r w:rsidRPr="007B6BF6">
        <w:t xml:space="preserve">Die Berechnung der absoluten Umsätze erfolgt auf Basis von Daten der Leistungs- und Strukturstatistik in der Kammersystematik 2021 der Statistik Austria (Quelle: Statistik Austria, 2023) sowie der </w:t>
      </w:r>
      <w:r w:rsidR="00F94177">
        <w:t>Konjunkturbeobachtung</w:t>
      </w:r>
      <w:r w:rsidRPr="007B6BF6">
        <w:t xml:space="preserve"> der KMU Forschung Austria (Quelle: KMU Forschung Austria, 2023 - 2024).</w:t>
      </w:r>
    </w:p>
  </w:footnote>
  <w:footnote w:id="3">
    <w:p w:rsidR="000217DF" w:rsidRDefault="000217DF" w:rsidP="00ED7317">
      <w:pPr>
        <w:pStyle w:val="Funotentext"/>
      </w:pPr>
      <w:r w:rsidRPr="007037AD">
        <w:rPr>
          <w:rStyle w:val="Funotenzeichen"/>
        </w:rPr>
        <w:footnoteRef/>
      </w:r>
      <w:r w:rsidRPr="007037AD">
        <w:tab/>
        <w:t xml:space="preserve">Die Berechnung der absoluten Exportumsätze erfolgt auf Basis von Daten der Leistungs- und Strukturstatistik in der Kammersystematik 2021 der Statistik Austria (Quelle: Statistik Austria, 2023) sowie der </w:t>
      </w:r>
      <w:r w:rsidR="00F94177">
        <w:t>Konjunkturbeobachtung</w:t>
      </w:r>
      <w:r w:rsidRPr="007037AD">
        <w:t xml:space="preserve"> der KMU Forschung Austria (Quelle: KMU Forschung Austria, 2023 - 2024).</w:t>
      </w:r>
    </w:p>
  </w:footnote>
  <w:footnote w:id="4">
    <w:p w:rsidR="000217DF" w:rsidRPr="00B05B42" w:rsidRDefault="000217DF" w:rsidP="00ED7317">
      <w:pPr>
        <w:pStyle w:val="Funotentext"/>
      </w:pPr>
      <w:r w:rsidRPr="007037AD">
        <w:rPr>
          <w:rStyle w:val="Funotenzeichen"/>
        </w:rPr>
        <w:footnoteRef/>
      </w:r>
      <w:r w:rsidRPr="007037AD">
        <w:t xml:space="preserve"> </w:t>
      </w:r>
      <w:r w:rsidRPr="007037AD">
        <w:tab/>
        <w:t xml:space="preserve">Die Berechnung des absoluten Investitionsvolumens erfolgt auf Basis von Daten der Beschäftigungsstatistik 2022 der Wirtschaftskammer Österreich (Quelle: Wirtschaftskammer Österreich, 2023) sowie der </w:t>
      </w:r>
      <w:r w:rsidR="00F94177">
        <w:t>Konjunkturbeobachtung</w:t>
      </w:r>
      <w:r w:rsidRPr="007037AD">
        <w:t xml:space="preserve"> der KMU Forschung Austria (Quelle: KMU Forschung Austria, 2024).</w:t>
      </w:r>
    </w:p>
  </w:footnote>
  <w:footnote w:id="5">
    <w:p w:rsidR="000217DF" w:rsidRDefault="000217DF" w:rsidP="00ED7317">
      <w:pPr>
        <w:pStyle w:val="Funotentext"/>
      </w:pPr>
      <w:r>
        <w:rPr>
          <w:rStyle w:val="Funotenzeichen"/>
        </w:rPr>
        <w:footnoteRef/>
      </w:r>
      <w:r>
        <w:tab/>
      </w:r>
      <w:r w:rsidRPr="007C73C0">
        <w:t>Die prozentuelle Veränderung wurde auf Basis der nicht gerundeten Ausgangswerte berechnet.</w:t>
      </w:r>
    </w:p>
  </w:footnote>
  <w:footnote w:id="6">
    <w:p w:rsidR="000217DF" w:rsidRDefault="000217DF" w:rsidP="00ED7317">
      <w:pPr>
        <w:pStyle w:val="Funotentext"/>
      </w:pPr>
      <w:r>
        <w:rPr>
          <w:rStyle w:val="Funotenzeichen"/>
        </w:rPr>
        <w:footnoteRef/>
      </w:r>
      <w:r>
        <w:tab/>
      </w:r>
      <w:r w:rsidRPr="00E35BA0">
        <w:t>In den investitionsgüternahen Branchen werden die Betriebe nach den Auftragseingangserwartungen, in den konsumnahen Branchen nach den Umsatzerwartungen gefragt.</w:t>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217DF" w:rsidRDefault="000217DF">
    <w:pPr>
      <w:pStyle w:val="Kopfzeile"/>
    </w:pPr>
    <w:r>
      <w:rPr>
        <w:noProof/>
        <w:lang w:eastAsia="de-AT"/>
      </w:rPr>
      <w:drawing>
        <wp:anchor distT="0" distB="0" distL="114300" distR="114300" simplePos="0" relativeHeight="251658243" behindDoc="1" locked="1" layoutInCell="1" allowOverlap="1" wp14:anchorId="62545BDA" wp14:editId="775E3964">
          <wp:simplePos x="0" y="0"/>
          <wp:positionH relativeFrom="leftMargin">
            <wp:posOffset>612140</wp:posOffset>
          </wp:positionH>
          <wp:positionV relativeFrom="page">
            <wp:posOffset>449580</wp:posOffset>
          </wp:positionV>
          <wp:extent cx="540000" cy="252000"/>
          <wp:effectExtent l="0" t="0" r="0" b="2540"/>
          <wp:wrapNone/>
          <wp:docPr id="24" name="Grafik 24">
            <a:extLst xmlns:a="http://schemas.openxmlformats.org/drawingml/2006/main">
              <a:ext uri="{C183D7F6-B498-43B3-948B-1728B52AA6E4}">
                <adec:decorative xmlns=""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urn:schemas-microsoft-com:office:office" xmlns:oel="http://schemas.microsoft.com/office/2019/extlst" xmlns:v="urn:schemas-microsoft-com:vml" xmlns:w10="urn:schemas-microsoft-com:office:word" xmlns:w="http://schemas.openxmlformats.org/wordprocessingml/2006/main" xmlns:w16cex="http://schemas.microsoft.com/office/word/2018/wordml/cex" xmlns:w16cid="http://schemas.microsoft.com/office/word/2016/wordml/cid" xmlns:w16="http://schemas.microsoft.com/office/word/2018/wordml" xmlns:w16sdtdh="http://schemas.microsoft.com/office/word/2020/wordml/sdtdatahash" xmlns:adec="http://schemas.microsoft.com/office/drawing/2017/decorative" xmlns:arto="http://schemas.microsoft.com/office/word/2006/arto"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Grafik 22">
                    <a:extLst>
                      <a:ext uri="{C183D7F6-B498-43B3-948B-1728B52AA6E4}">
                        <adec:decorative xmlns=""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urn:schemas-microsoft-com:office:office" xmlns:oel="http://schemas.microsoft.com/office/2019/extlst" xmlns:v="urn:schemas-microsoft-com:vml" xmlns:w10="urn:schemas-microsoft-com:office:word" xmlns:w="http://schemas.openxmlformats.org/wordprocessingml/2006/main" xmlns:w16cex="http://schemas.microsoft.com/office/word/2018/wordml/cex" xmlns:w16cid="http://schemas.microsoft.com/office/word/2016/wordml/cid" xmlns:w16="http://schemas.microsoft.com/office/word/2018/wordml" xmlns:w16sdtdh="http://schemas.microsoft.com/office/word/2020/wordml/sdtdatahash" xmlns:adec="http://schemas.microsoft.com/office/drawing/2017/decorative" xmlns:arto="http://schemas.microsoft.com/office/word/2006/arto" val="1"/>
                      </a:ext>
                    </a:extLst>
                  </pic:cNvPr>
                  <pic:cNvPicPr/>
                </pic:nvPicPr>
                <pic:blipFill>
                  <a:blip r:embed="rId1" cstate="print">
                    <a:extLst>
                      <a:ext uri="{28A0092B-C50C-407E-A947-70E740481C1C}">
                        <a14:useLocalDpi xmlns:a14="http://schemas.microsoft.com/office/drawing/2010/main" val="0"/>
                      </a:ext>
                      <a:ext uri="{96DAC541-7B7A-43D3-8B79-37D633B846F1}">
                        <asvg:svgBlip xmlns=""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urn:schemas-microsoft-com:office:office" xmlns:oel="http://schemas.microsoft.com/office/2019/extlst" xmlns:v="urn:schemas-microsoft-com:vml" xmlns:w10="urn:schemas-microsoft-com:office:word" xmlns:w="http://schemas.openxmlformats.org/wordprocessingml/2006/main" xmlns:w16cex="http://schemas.microsoft.com/office/word/2018/wordml/cex" xmlns:w16cid="http://schemas.microsoft.com/office/word/2016/wordml/cid" xmlns:w16="http://schemas.microsoft.com/office/word/2018/wordml" xmlns:w16sdtdh="http://schemas.microsoft.com/office/word/2020/wordml/sdtdatahash" xmlns:asvg="http://schemas.microsoft.com/office/drawing/2016/SVG/main" xmlns:arto="http://schemas.microsoft.com/office/word/2006/arto" r:embed="rId2"/>
                      </a:ext>
                    </a:extLst>
                  </a:blip>
                  <a:stretch>
                    <a:fillRect/>
                  </a:stretch>
                </pic:blipFill>
                <pic:spPr>
                  <a:xfrm>
                    <a:off x="0" y="0"/>
                    <a:ext cx="540000" cy="252000"/>
                  </a:xfrm>
                  <a:prstGeom prst="rect">
                    <a:avLst/>
                  </a:prstGeom>
                </pic:spPr>
              </pic:pic>
            </a:graphicData>
          </a:graphic>
          <wp14:sizeRelH relativeFrom="margin">
            <wp14:pctWidth>0</wp14:pctWidth>
          </wp14:sizeRelH>
          <wp14:sizeRelV relativeFrom="margin">
            <wp14:pctHeight>0</wp14:pctHeight>
          </wp14:sizeRelV>
        </wp:anchor>
      </w:drawing>
    </w: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217DF" w:rsidRDefault="000217DF">
    <w:pPr>
      <w:pStyle w:val="Kopfzeile"/>
    </w:pPr>
    <w:r>
      <w:rPr>
        <w:noProof/>
        <w:lang w:eastAsia="de-AT"/>
      </w:rPr>
      <w:drawing>
        <wp:anchor distT="0" distB="0" distL="114300" distR="114300" simplePos="0" relativeHeight="251658240" behindDoc="1" locked="1" layoutInCell="1" allowOverlap="1" wp14:anchorId="05A94797" wp14:editId="3B3049F5">
          <wp:simplePos x="0" y="0"/>
          <wp:positionH relativeFrom="rightMargin">
            <wp:posOffset>-612140</wp:posOffset>
          </wp:positionH>
          <wp:positionV relativeFrom="page">
            <wp:posOffset>450215</wp:posOffset>
          </wp:positionV>
          <wp:extent cx="540000" cy="252000"/>
          <wp:effectExtent l="0" t="0" r="0" b="0"/>
          <wp:wrapNone/>
          <wp:docPr id="25" name="Grafik 25">
            <a:extLst xmlns:a="http://schemas.openxmlformats.org/drawingml/2006/main">
              <a:ext uri="{C183D7F6-B498-43B3-948B-1728B52AA6E4}">
                <adec:decorative xmlns=""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urn:schemas-microsoft-com:office:office" xmlns:oel="http://schemas.microsoft.com/office/2019/extlst" xmlns:v="urn:schemas-microsoft-com:vml" xmlns:w10="urn:schemas-microsoft-com:office:word" xmlns:w="http://schemas.openxmlformats.org/wordprocessingml/2006/main" xmlns:w16cex="http://schemas.microsoft.com/office/word/2018/wordml/cex" xmlns:w16cid="http://schemas.microsoft.com/office/word/2016/wordml/cid" xmlns:w16="http://schemas.microsoft.com/office/word/2018/wordml" xmlns:w16sdtdh="http://schemas.microsoft.com/office/word/2020/wordml/sdtdatahash" xmlns:adec="http://schemas.microsoft.com/office/drawing/2017/decorative" xmlns:arto="http://schemas.microsoft.com/office/word/2006/arto"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Grafik 22">
                    <a:extLst>
                      <a:ext uri="{C183D7F6-B498-43B3-948B-1728B52AA6E4}">
                        <adec:decorative xmlns=""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urn:schemas-microsoft-com:office:office" xmlns:oel="http://schemas.microsoft.com/office/2019/extlst" xmlns:v="urn:schemas-microsoft-com:vml" xmlns:w10="urn:schemas-microsoft-com:office:word" xmlns:w="http://schemas.openxmlformats.org/wordprocessingml/2006/main" xmlns:w16cex="http://schemas.microsoft.com/office/word/2018/wordml/cex" xmlns:w16cid="http://schemas.microsoft.com/office/word/2016/wordml/cid" xmlns:w16="http://schemas.microsoft.com/office/word/2018/wordml" xmlns:w16sdtdh="http://schemas.microsoft.com/office/word/2020/wordml/sdtdatahash" xmlns:adec="http://schemas.microsoft.com/office/drawing/2017/decorative" xmlns:arto="http://schemas.microsoft.com/office/word/2006/arto" val="1"/>
                      </a:ext>
                    </a:extLst>
                  </pic:cNvPr>
                  <pic:cNvPicPr/>
                </pic:nvPicPr>
                <pic:blipFill>
                  <a:blip r:embed="rId1" cstate="print">
                    <a:extLst>
                      <a:ext uri="{28A0092B-C50C-407E-A947-70E740481C1C}">
                        <a14:useLocalDpi xmlns:a14="http://schemas.microsoft.com/office/drawing/2010/main" val="0"/>
                      </a:ext>
                      <a:ext uri="{96DAC541-7B7A-43D3-8B79-37D633B846F1}">
                        <asvg:svgBlip xmlns=""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urn:schemas-microsoft-com:office:office" xmlns:oel="http://schemas.microsoft.com/office/2019/extlst" xmlns:v="urn:schemas-microsoft-com:vml" xmlns:w10="urn:schemas-microsoft-com:office:word" xmlns:w="http://schemas.openxmlformats.org/wordprocessingml/2006/main" xmlns:w16cex="http://schemas.microsoft.com/office/word/2018/wordml/cex" xmlns:w16cid="http://schemas.microsoft.com/office/word/2016/wordml/cid" xmlns:w16="http://schemas.microsoft.com/office/word/2018/wordml" xmlns:w16sdtdh="http://schemas.microsoft.com/office/word/2020/wordml/sdtdatahash" xmlns:asvg="http://schemas.microsoft.com/office/drawing/2016/SVG/main" xmlns:arto="http://schemas.microsoft.com/office/word/2006/arto" r:embed="rId3"/>
                      </a:ext>
                    </a:extLst>
                  </a:blip>
                  <a:stretch>
                    <a:fillRect/>
                  </a:stretch>
                </pic:blipFill>
                <pic:spPr>
                  <a:xfrm>
                    <a:off x="0" y="0"/>
                    <a:ext cx="540000" cy="252000"/>
                  </a:xfrm>
                  <a:prstGeom prst="rect">
                    <a:avLst/>
                  </a:prstGeom>
                </pic:spPr>
              </pic:pic>
            </a:graphicData>
          </a:graphic>
          <wp14:sizeRelH relativeFrom="margin">
            <wp14:pctWidth>0</wp14:pctWidth>
          </wp14:sizeRelH>
          <wp14:sizeRelV relativeFrom="margin">
            <wp14:pctHeight>0</wp14:pctHeight>
          </wp14:sizeRelV>
        </wp:anchor>
      </w:drawing>
    </w: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217DF" w:rsidRDefault="000217DF">
    <w:pPr>
      <w:pStyle w:val="Kopfzeile"/>
    </w:pPr>
    <w:r>
      <w:rPr>
        <w:noProof/>
        <w:lang w:eastAsia="de-AT"/>
      </w:rPr>
      <w:drawing>
        <wp:anchor distT="0" distB="0" distL="114300" distR="114300" simplePos="0" relativeHeight="251658242" behindDoc="1" locked="1" layoutInCell="1" allowOverlap="1" wp14:anchorId="18EB05ED" wp14:editId="7E7491D6">
          <wp:simplePos x="0" y="0"/>
          <wp:positionH relativeFrom="rightMargin">
            <wp:posOffset>-2214245</wp:posOffset>
          </wp:positionH>
          <wp:positionV relativeFrom="page">
            <wp:posOffset>439420</wp:posOffset>
          </wp:positionV>
          <wp:extent cx="2214000" cy="1008000"/>
          <wp:effectExtent l="0" t="0" r="0" b="0"/>
          <wp:wrapNone/>
          <wp:docPr id="26" name="Grafik 26">
            <a:extLst xmlns:a="http://schemas.openxmlformats.org/drawingml/2006/main">
              <a:ext uri="{C183D7F6-B498-43B3-948B-1728B52AA6E4}">
                <adec:decorative xmlns=""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urn:schemas-microsoft-com:office:office" xmlns:oel="http://schemas.microsoft.com/office/2019/extlst" xmlns:v="urn:schemas-microsoft-com:vml" xmlns:w10="urn:schemas-microsoft-com:office:word" xmlns:w="http://schemas.openxmlformats.org/wordprocessingml/2006/main" xmlns:w16cex="http://schemas.microsoft.com/office/word/2018/wordml/cex" xmlns:w16cid="http://schemas.microsoft.com/office/word/2016/wordml/cid" xmlns:w16="http://schemas.microsoft.com/office/word/2018/wordml" xmlns:w16sdtdh="http://schemas.microsoft.com/office/word/2020/wordml/sdtdatahash" xmlns:adec="http://schemas.microsoft.com/office/drawing/2017/decorative" xmlns:arto="http://schemas.microsoft.com/office/word/2006/arto"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Grafik 14">
                    <a:extLst>
                      <a:ext uri="{C183D7F6-B498-43B3-948B-1728B52AA6E4}">
                        <adec:decorative xmlns=""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urn:schemas-microsoft-com:office:office" xmlns:oel="http://schemas.microsoft.com/office/2019/extlst" xmlns:v="urn:schemas-microsoft-com:vml" xmlns:w10="urn:schemas-microsoft-com:office:word" xmlns:w="http://schemas.openxmlformats.org/wordprocessingml/2006/main" xmlns:w16cex="http://schemas.microsoft.com/office/word/2018/wordml/cex" xmlns:w16cid="http://schemas.microsoft.com/office/word/2016/wordml/cid" xmlns:w16="http://schemas.microsoft.com/office/word/2018/wordml" xmlns:w16sdtdh="http://schemas.microsoft.com/office/word/2020/wordml/sdtdatahash" xmlns:adec="http://schemas.microsoft.com/office/drawing/2017/decorative" xmlns:arto="http://schemas.microsoft.com/office/word/2006/arto" val="1"/>
                      </a:ext>
                    </a:extLst>
                  </pic:cNvPr>
                  <pic:cNvPicPr/>
                </pic:nvPicPr>
                <pic:blipFill>
                  <a:blip r:embed="rId1">
                    <a:extLst>
                      <a:ext uri="{28A0092B-C50C-407E-A947-70E740481C1C}">
                        <a14:useLocalDpi xmlns:a14="http://schemas.microsoft.com/office/drawing/2010/main" val="0"/>
                      </a:ext>
                      <a:ext uri="{96DAC541-7B7A-43D3-8B79-37D633B846F1}">
                        <asvg:svgBlip xmlns=""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urn:schemas-microsoft-com:office:office" xmlns:oel="http://schemas.microsoft.com/office/2019/extlst" xmlns:v="urn:schemas-microsoft-com:vml" xmlns:w10="urn:schemas-microsoft-com:office:word" xmlns:w="http://schemas.openxmlformats.org/wordprocessingml/2006/main" xmlns:w16cex="http://schemas.microsoft.com/office/word/2018/wordml/cex" xmlns:w16cid="http://schemas.microsoft.com/office/word/2016/wordml/cid" xmlns:w16="http://schemas.microsoft.com/office/word/2018/wordml" xmlns:w16sdtdh="http://schemas.microsoft.com/office/word/2020/wordml/sdtdatahash" xmlns:asvg="http://schemas.microsoft.com/office/drawing/2016/SVG/main" xmlns:arto="http://schemas.microsoft.com/office/word/2006/arto" r:embed="rId5"/>
                      </a:ext>
                    </a:extLst>
                  </a:blip>
                  <a:stretch>
                    <a:fillRect/>
                  </a:stretch>
                </pic:blipFill>
                <pic:spPr>
                  <a:xfrm>
                    <a:off x="0" y="0"/>
                    <a:ext cx="2214000" cy="1008000"/>
                  </a:xfrm>
                  <a:prstGeom prst="rect">
                    <a:avLst/>
                  </a:prstGeom>
                </pic:spPr>
              </pic:pic>
            </a:graphicData>
          </a:graphic>
          <wp14:sizeRelH relativeFrom="page">
            <wp14:pctWidth>0</wp14:pctWidth>
          </wp14:sizeRelH>
          <wp14:sizeRelV relativeFrom="page">
            <wp14:pctHeight>0</wp14:pctHeight>
          </wp14:sizeRelV>
        </wp:anchor>
      </w:drawing>
    </w:r>
    <w:r>
      <w:rPr>
        <w:noProof/>
        <w:lang w:eastAsia="de-AT"/>
      </w:rPr>
      <mc:AlternateContent>
        <mc:Choice Requires="wps">
          <w:drawing>
            <wp:anchor distT="0" distB="0" distL="114300" distR="114300" simplePos="0" relativeHeight="251658241" behindDoc="1" locked="1" layoutInCell="1" allowOverlap="1" wp14:anchorId="486D0F8A" wp14:editId="64D26CB0">
              <wp:simplePos x="0" y="0"/>
              <wp:positionH relativeFrom="page">
                <wp:align>center</wp:align>
              </wp:positionH>
              <wp:positionV relativeFrom="page">
                <wp:align>center</wp:align>
              </wp:positionV>
              <wp:extent cx="10692000" cy="10692000"/>
              <wp:effectExtent l="0" t="0" r="14605" b="14605"/>
              <wp:wrapNone/>
              <wp:docPr id="1" name="Rechteck 1">
                <a:extLst xmlns:a="http://schemas.openxmlformats.org/drawingml/2006/main">
                  <a:ext uri="{C183D7F6-B498-43B3-948B-1728B52AA6E4}">
                    <adec:decorative xmlns=""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urn:schemas-microsoft-com:office:office" xmlns:oel="http://schemas.microsoft.com/office/2019/extlst" xmlns:v="urn:schemas-microsoft-com:vml" xmlns:w10="urn:schemas-microsoft-com:office:word" xmlns:w="http://schemas.openxmlformats.org/wordprocessingml/2006/main" xmlns:w16cex="http://schemas.microsoft.com/office/word/2018/wordml/cex" xmlns:w16cid="http://schemas.microsoft.com/office/word/2016/wordml/cid" xmlns:w16="http://schemas.microsoft.com/office/word/2018/wordml" xmlns:w16sdtdh="http://schemas.microsoft.com/office/word/2020/wordml/sdtdatahash" xmlns:adec="http://schemas.microsoft.com/office/drawing/2017/decorative" xmlns:arto="http://schemas.microsoft.com/office/word/2006/arto" val="1"/>
                  </a:ext>
                </a:extLst>
              </wp:docPr>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wps:cNvSpPr>
                    <wps:spPr>
                      <a:xfrm>
                        <a:off x="0" y="0"/>
                        <a:ext cx="10692000" cy="10692000"/>
                      </a:xfrm>
                      <a:prstGeom prst="rect">
                        <a:avLst/>
                      </a:prstGeom>
                      <a:solidFill>
                        <a:srgbClr val="005D89"/>
                      </a:solidFill>
                    </wps:spPr>
                    <wps:style>
                      <a:lnRef idx="2">
                        <a:schemeClr val="accent1">
                          <a:shade val="50000"/>
                        </a:schemeClr>
                      </a:lnRef>
                      <a:fillRef idx="1">
                        <a:schemeClr val="accent1"/>
                      </a:fillRef>
                      <a:effectRef idx="0">
                        <a:schemeClr val="accent1"/>
                      </a:effectRef>
                      <a:fontRef idx="minor">
                        <a:schemeClr val="lt1"/>
                      </a:fontRef>
                    </wps:style>
                    <wps:txbx>
                      <w:txbxContent>
                        <w:p w:rsidR="000217DF" w:rsidRPr="00EF1F7B" w:rsidRDefault="000217DF" w:rsidP="00EF1F7B">
                          <w:pPr>
                            <w:pStyle w:val="Fuzeile"/>
                          </w:pPr>
                          <w:r w:rsidRPr="00EF1F7B">
                            <w:t>fghfgh</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486D0F8A" id="Rechteck 1" o:spid="_x0000_s1026" style="position:absolute;left:0;text-align:left;margin-left:0;margin-top:0;width:841.9pt;height:841.9pt;z-index:-251658239;visibility:visible;mso-wrap-style:square;mso-width-percent:0;mso-height-percent:0;mso-wrap-distance-left:9pt;mso-wrap-distance-top:0;mso-wrap-distance-right:9pt;mso-wrap-distance-bottom:0;mso-position-horizontal:center;mso-position-horizontal-relative:page;mso-position-vertical:center;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WdRy2QIAAPsFAAAOAAAAZHJzL2Uyb0RvYy54bWysVEtv2zAMvg/YfxB0T+2kTpoEdYo8lmFA&#10;0BZth54VWY6NyqImKa8O+++jZMft2mKHYReBFMmPb15eHSpJdsLYElRKu2cxJUJxyEq1Sen3h2Vn&#10;SIl1TGVMghIpPQpLryafP13u9Vj0oACZCUMQRNnxXqe0cE6Po8jyQlTMnoEWCoU5mIo5ZM0mygzb&#10;I3olo14cD6I9mEwb4MJa/F3UQjoJ+HkuuLvJcysckSnF2Fx4TXjX/o0ml2y8MUwXJW/CYP8QRcVK&#10;hU5bqAVzjGxN+Q6qKrkBC7k741BFkOclFyEHzKYbv8nmvmBahFywOFa3ZbL/D5Zf724NKTPsHSWK&#10;VdiiO8ELJ/gT6YaMxMGtrPO5IVXn9HPeHZ4vLpaDziwZDTvJ+ey8M0qGs073ojec9XvT6eBL8svX&#10;NgpWwT7aazsO7nxzAnmvb40HtnoF/MkSBfOCqY2YWo2N8yF5iD+UPWMbs0NuKm+OVSSH0NJj21If&#10;K8fPbjwY4Zxg6zkKW64O7QSgjXVfBVTEEyk16DykznYYea16UgnhgiyzZSllYMxmPZeG7JifsLi/&#10;GI6axO2LWsihDjsk4I5SeGOp7kSO1cdAe8FjmHvR4jHOhXJ1H2zBMlG76WNCYXSxvK1FKHYA9Mg5&#10;htdiNwB+p95j1/k1+t5UhLVpjeO/BVYbtxbBMyjXGlelAvMRgMSsGs+1ftNoW5fGV8kd1gdU8eQa&#10;siOOqYF6f63myxJbtWLW3TKDC4v9xSPkbvDJJexTCg1FSQHm+aN/r497hFJK9ngAUmp/bJkRlMhv&#10;Cjds1E0SfzECk/QvesiY15L1a4naVnPACcAtwugC6fWdPJG5geoRb9XUe0URUxx9p5Q7c2Lmrj5M&#10;eO24mE6DGl4JzdxK3WvuwX2B/Sg+HB6Z0c28Ohz2azgdCzZ+M7a1rrdUMN06yMsw0y91bUqPFybM&#10;UHMN/Ql7zQetl5s9+Q0AAP//AwBQSwMEFAAGAAgAAAAhAMBqW2vaAAAABwEAAA8AAABkcnMvZG93&#10;bnJldi54bWxMj0FPwzAMhe9I/IfISFwQS7eJaSpNJ0DiyIEBB25e47VliROSdCv79WRICC6Wrff0&#10;/L1qNVoj9hRi71jBdFKAIG6c7rlV8PryeL0EEROyRuOYFHxRhFV9flZhqd2Bn2m/Tq3IIRxLVNCl&#10;5EspY9ORxThxnjhrWxcspnyGVuqAhxxujZwVxUJa7Dl/6NDTQ0fNbj1YBbM343duery5f//cOm/D&#10;1Qc/DUpdXox3tyASjenPDCf8jA51Ztq4gXUURkEukn7mSVss57nH5neTdSX/89ffAAAA//8DAFBL&#10;AQItABQABgAIAAAAIQC2gziS/gAAAOEBAAATAAAAAAAAAAAAAAAAAAAAAABbQ29udGVudF9UeXBl&#10;c10ueG1sUEsBAi0AFAAGAAgAAAAhADj9If/WAAAAlAEAAAsAAAAAAAAAAAAAAAAALwEAAF9yZWxz&#10;Ly5yZWxzUEsBAi0AFAAGAAgAAAAhAGpZ1HLZAgAA+wUAAA4AAAAAAAAAAAAAAAAALgIAAGRycy9l&#10;Mm9Eb2MueG1sUEsBAi0AFAAGAAgAAAAhAMBqW2vaAAAABwEAAA8AAAAAAAAAAAAAAAAAMwUAAGRy&#10;cy9kb3ducmV2LnhtbFBLBQYAAAAABAAEAPMAAAA6BgAAAAA=&#10;" fillcolor="#005d89" strokecolor="#002e44 [1604]" strokeweight="1pt">
              <v:path arrowok="t"/>
              <o:lock v:ext="edit" aspectratio="t"/>
              <v:textbox>
                <w:txbxContent>
                  <w:p w:rsidR="000217DF" w:rsidRPr="00EF1F7B" w:rsidRDefault="000217DF" w:rsidP="00EF1F7B">
                    <w:pPr>
                      <w:pStyle w:val="Fuzeile"/>
                    </w:pPr>
                    <w:proofErr w:type="spellStart"/>
                    <w:r w:rsidRPr="00EF1F7B">
                      <w:t>fghfgh</w:t>
                    </w:r>
                    <w:proofErr w:type="spellEnd"/>
                  </w:p>
                </w:txbxContent>
              </v:textbox>
              <w10:wrap anchorx="page" anchory="page"/>
              <w10:anchorlock/>
            </v:rect>
          </w:pict>
        </mc:Fallback>
      </mc:AlternateContent>
    </w:r>
  </w:p>
</w:hdr>
</file>

<file path=word/header4.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217DF" w:rsidRDefault="000217DF">
    <w:pPr>
      <w:pStyle w:val="Kopfzeile"/>
    </w:pPr>
    <w:r>
      <w:rPr>
        <w:noProof/>
        <w:lang w:eastAsia="de-AT"/>
      </w:rPr>
      <w:drawing>
        <wp:anchor distT="0" distB="0" distL="114300" distR="114300" simplePos="0" relativeHeight="251658245" behindDoc="1" locked="1" layoutInCell="1" allowOverlap="1" wp14:anchorId="3F3B0E44" wp14:editId="3A6E3462">
          <wp:simplePos x="0" y="0"/>
          <wp:positionH relativeFrom="leftMargin">
            <wp:posOffset>612140</wp:posOffset>
          </wp:positionH>
          <wp:positionV relativeFrom="page">
            <wp:posOffset>449580</wp:posOffset>
          </wp:positionV>
          <wp:extent cx="540000" cy="252000"/>
          <wp:effectExtent l="0" t="0" r="0" b="2540"/>
          <wp:wrapNone/>
          <wp:docPr id="3" name="Grafik 3">
            <a:extLst xmlns:a="http://schemas.openxmlformats.org/drawingml/2006/main">
              <a:ext uri="{C183D7F6-B498-43B3-948B-1728B52AA6E4}">
                <adec:decorative xmlns=""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urn:schemas-microsoft-com:office:office" xmlns:oel="http://schemas.microsoft.com/office/2019/extlst" xmlns:v="urn:schemas-microsoft-com:vml" xmlns:w10="urn:schemas-microsoft-com:office:word" xmlns:w="http://schemas.openxmlformats.org/wordprocessingml/2006/main" xmlns:w16cex="http://schemas.microsoft.com/office/word/2018/wordml/cex" xmlns:w16cid="http://schemas.microsoft.com/office/word/2016/wordml/cid" xmlns:w16="http://schemas.microsoft.com/office/word/2018/wordml" xmlns:w16sdtdh="http://schemas.microsoft.com/office/word/2020/wordml/sdtdatahash" xmlns:adec="http://schemas.microsoft.com/office/drawing/2017/decorative" xmlns:arto="http://schemas.microsoft.com/office/word/2006/arto"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Grafik 22">
                    <a:extLst>
                      <a:ext uri="{C183D7F6-B498-43B3-948B-1728B52AA6E4}">
                        <adec:decorative xmlns=""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urn:schemas-microsoft-com:office:office" xmlns:oel="http://schemas.microsoft.com/office/2019/extlst" xmlns:v="urn:schemas-microsoft-com:vml" xmlns:w10="urn:schemas-microsoft-com:office:word" xmlns:w="http://schemas.openxmlformats.org/wordprocessingml/2006/main" xmlns:w16cex="http://schemas.microsoft.com/office/word/2018/wordml/cex" xmlns:w16cid="http://schemas.microsoft.com/office/word/2016/wordml/cid" xmlns:w16="http://schemas.microsoft.com/office/word/2018/wordml" xmlns:w16sdtdh="http://schemas.microsoft.com/office/word/2020/wordml/sdtdatahash" xmlns:adec="http://schemas.microsoft.com/office/drawing/2017/decorative" xmlns:arto="http://schemas.microsoft.com/office/word/2006/arto" val="1"/>
                      </a:ext>
                    </a:extLst>
                  </pic:cNvPr>
                  <pic:cNvPicPr/>
                </pic:nvPicPr>
                <pic:blipFill>
                  <a:blip r:embed="rId1" cstate="print">
                    <a:extLst>
                      <a:ext uri="{28A0092B-C50C-407E-A947-70E740481C1C}">
                        <a14:useLocalDpi xmlns:a14="http://schemas.microsoft.com/office/drawing/2010/main" val="0"/>
                      </a:ext>
                      <a:ext uri="{96DAC541-7B7A-43D3-8B79-37D633B846F1}">
                        <asvg:svgBlip xmlns=""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urn:schemas-microsoft-com:office:office" xmlns:oel="http://schemas.microsoft.com/office/2019/extlst" xmlns:v="urn:schemas-microsoft-com:vml" xmlns:w10="urn:schemas-microsoft-com:office:word" xmlns:w="http://schemas.openxmlformats.org/wordprocessingml/2006/main" xmlns:w16cex="http://schemas.microsoft.com/office/word/2018/wordml/cex" xmlns:w16cid="http://schemas.microsoft.com/office/word/2016/wordml/cid" xmlns:w16="http://schemas.microsoft.com/office/word/2018/wordml" xmlns:w16sdtdh="http://schemas.microsoft.com/office/word/2020/wordml/sdtdatahash" xmlns:asvg="http://schemas.microsoft.com/office/drawing/2016/SVG/main" xmlns:arto="http://schemas.microsoft.com/office/word/2006/arto" r:embed="rId6"/>
                      </a:ext>
                    </a:extLst>
                  </a:blip>
                  <a:stretch>
                    <a:fillRect/>
                  </a:stretch>
                </pic:blipFill>
                <pic:spPr>
                  <a:xfrm>
                    <a:off x="0" y="0"/>
                    <a:ext cx="540000" cy="252000"/>
                  </a:xfrm>
                  <a:prstGeom prst="rect">
                    <a:avLst/>
                  </a:prstGeom>
                </pic:spPr>
              </pic:pic>
            </a:graphicData>
          </a:graphic>
          <wp14:sizeRelH relativeFrom="margin">
            <wp14:pctWidth>0</wp14:pctWidth>
          </wp14:sizeRelH>
          <wp14:sizeRelV relativeFrom="margin">
            <wp14:pctHeight>0</wp14:pctHeight>
          </wp14:sizeRelV>
        </wp:anchor>
      </w:drawing>
    </w:r>
  </w:p>
</w:hdr>
</file>

<file path=word/header5.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217DF" w:rsidRDefault="000217DF">
    <w:pPr>
      <w:pStyle w:val="Kopfzeile"/>
    </w:pPr>
  </w:p>
</w:hdr>
</file>

<file path=word/header6.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217DF" w:rsidRDefault="000217DF" w:rsidP="00C67F87">
    <w:pPr>
      <w:pStyle w:val="Kopfzeile"/>
      <w:tabs>
        <w:tab w:val="clear" w:pos="4536"/>
        <w:tab w:val="clear" w:pos="9072"/>
        <w:tab w:val="left" w:pos="2385"/>
      </w:tabs>
    </w:pPr>
    <w:r>
      <w:rPr>
        <w:noProof/>
        <w:lang w:eastAsia="de-AT"/>
      </w:rPr>
      <mc:AlternateContent>
        <mc:Choice Requires="wps">
          <w:drawing>
            <wp:anchor distT="0" distB="0" distL="114300" distR="114300" simplePos="0" relativeHeight="251658244" behindDoc="1" locked="1" layoutInCell="1" allowOverlap="1" wp14:anchorId="00A3A3D1" wp14:editId="4EF259A5">
              <wp:simplePos x="0" y="0"/>
              <wp:positionH relativeFrom="page">
                <wp:align>center</wp:align>
              </wp:positionH>
              <wp:positionV relativeFrom="page">
                <wp:align>center</wp:align>
              </wp:positionV>
              <wp:extent cx="10692000" cy="10692000"/>
              <wp:effectExtent l="0" t="0" r="14605" b="14605"/>
              <wp:wrapNone/>
              <wp:docPr id="14" name="Rechteck 14">
                <a:extLst xmlns:a="http://schemas.openxmlformats.org/drawingml/2006/main">
                  <a:ext uri="{C183D7F6-B498-43B3-948B-1728B52AA6E4}">
                    <adec:decorative xmlns=""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urn:schemas-microsoft-com:office:office" xmlns:oel="http://schemas.microsoft.com/office/2019/extlst" xmlns:v="urn:schemas-microsoft-com:vml" xmlns:w10="urn:schemas-microsoft-com:office:word" xmlns:w="http://schemas.openxmlformats.org/wordprocessingml/2006/main" xmlns:w16cex="http://schemas.microsoft.com/office/word/2018/wordml/cex" xmlns:w16cid="http://schemas.microsoft.com/office/word/2016/wordml/cid" xmlns:w16="http://schemas.microsoft.com/office/word/2018/wordml" xmlns:w16sdtdh="http://schemas.microsoft.com/office/word/2020/wordml/sdtdatahash" xmlns:adec="http://schemas.microsoft.com/office/drawing/2017/decorative" xmlns:arto="http://schemas.microsoft.com/office/word/2006/arto" val="1"/>
                  </a:ext>
                </a:extLst>
              </wp:docPr>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wps:cNvSpPr>
                    <wps:spPr>
                      <a:xfrm>
                        <a:off x="0" y="0"/>
                        <a:ext cx="10692000" cy="10692000"/>
                      </a:xfrm>
                      <a:prstGeom prst="rect">
                        <a:avLst/>
                      </a:prstGeom>
                      <a:solidFill>
                        <a:srgbClr val="005D89"/>
                      </a:solidFill>
                    </wps:spPr>
                    <wps:style>
                      <a:lnRef idx="2">
                        <a:schemeClr val="accent1">
                          <a:shade val="50000"/>
                        </a:schemeClr>
                      </a:lnRef>
                      <a:fillRef idx="1">
                        <a:schemeClr val="accent1"/>
                      </a:fillRef>
                      <a:effectRef idx="0">
                        <a:schemeClr val="accent1"/>
                      </a:effectRef>
                      <a:fontRef idx="minor">
                        <a:schemeClr val="lt1"/>
                      </a:fontRef>
                    </wps:style>
                    <wps:txbx>
                      <w:txbxContent>
                        <w:p w:rsidR="000217DF" w:rsidRPr="00EF1F7B" w:rsidRDefault="000217DF" w:rsidP="00C67F87">
                          <w:pPr>
                            <w:pStyle w:val="Fuzeile"/>
                          </w:pPr>
                          <w:r w:rsidRPr="00EF1F7B">
                            <w:t>fghfgh</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00A3A3D1" id="Rechteck 14" o:spid="_x0000_s1027" style="position:absolute;left:0;text-align:left;margin-left:0;margin-top:0;width:841.9pt;height:841.9pt;z-index:-251658236;visibility:visible;mso-wrap-style:square;mso-width-percent:0;mso-height-percent:0;mso-wrap-distance-left:9pt;mso-wrap-distance-top:0;mso-wrap-distance-right:9pt;mso-wrap-distance-bottom:0;mso-position-horizontal:center;mso-position-horizontal-relative:page;mso-position-vertical:center;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UV4M3AIAAAQGAAAOAAAAZHJzL2Uyb0RvYy54bWysVEtv2zAMvg/YfxB0Tx2nTpoEdYo8lmFA&#10;0RZth54VWY6NyaImKa8N+++jZMfJ2mKHYRdBFMmP/EiK1zf7SpKtMLYEldL4okuJUByyUq1T+vV5&#10;2RlSYh1TGZOgREoPwtKbyccP1zs9Fj0oQGbCEARRdrzTKS2c0+MosrwQFbMXoIVCZQ6mYg5Fs44y&#10;w3aIXsmo1+0Ooh2YTBvgwlp8XdRKOgn4eS64u89zKxyRKcXcXDhNOFf+jCbXbLw2TBclb9Jg/5BF&#10;xUqFQVuoBXOMbEz5BqoquQELubvgUEWQ5yUXgQOyibuv2DwVTIvABYtjdVsm+/9g+d32wZAyw94l&#10;lChWYY8eBS+c4N8IPnlOYu9urWtuNauf83h4ubhaDjqzZDTsJJezy84oGc468VVvOOv3ptPBp+SX&#10;r2508o922o5DQN+ecH3SD8YDW30L/JslCuYFU2sxtRpbh0kFiD+MvWAbt31uKu+OdST70NRD21TM&#10;mnB8jLuDEU4KNp+jspXq1I4A2lj3WUBF/CWlBoMH6myLzGvTo0lIF2SZLUspg2DWq7k0ZMv8jHX7&#10;i+GoIW5PZoF7nXYg4A5SeGepHkWO9cdEeyFimHzR4jHOhXJxrSpYJuowfSQUhhfL23qEYgdAj5xj&#10;ei12A+B/1Vvsml9j711F+Ditc/dviTUtPnqEyKBc61yVCsx7ABJZNZFre0z/rDT+6varfT2b3tK/&#10;rCA74LwaqD+y1XxZYsdumXUPzODPxTbjNnL3eOQSdimF5kZJAebHe+/eHj8UainZ4SZIqf2+YUZQ&#10;Ir8o/GqjOEn86ghC0r/qoWDONatzjdpUc8BBiHHvaR6u3t7J4zU3UL3g0pr6qKhiimPslHJnjsLc&#10;1RsK1x4X02kww3WhmbtVT5p7cF9nP5HP+xdmdDO2Dmf+Do5bg41fTW9t6z0VTDcO8jKM9qmuTQdw&#10;1YRRatai32XncrA6Le/JbwAAAP//AwBQSwMEFAAGAAgAAAAhAMBqW2vaAAAABwEAAA8AAABkcnMv&#10;ZG93bnJldi54bWxMj0FPwzAMhe9I/IfISFwQS7eJaSpNJ0DiyIEBB25e47VliROSdCv79WRICC6W&#10;rff0/L1qNVoj9hRi71jBdFKAIG6c7rlV8PryeL0EEROyRuOYFHxRhFV9flZhqd2Bn2m/Tq3IIRxL&#10;VNCl5EspY9ORxThxnjhrWxcspnyGVuqAhxxujZwVxUJa7Dl/6NDTQ0fNbj1YBbM343duery5f//c&#10;Om/D1Qc/DUpdXox3tyASjenPDCf8jA51Ztq4gXUURkEukn7mSVss57nH5neTdSX/89ffAAAA//8D&#10;AFBLAQItABQABgAIAAAAIQC2gziS/gAAAOEBAAATAAAAAAAAAAAAAAAAAAAAAABbQ29udGVudF9U&#10;eXBlc10ueG1sUEsBAi0AFAAGAAgAAAAhADj9If/WAAAAlAEAAAsAAAAAAAAAAAAAAAAALwEAAF9y&#10;ZWxzLy5yZWxzUEsBAi0AFAAGAAgAAAAhAJBRXgzcAgAABAYAAA4AAAAAAAAAAAAAAAAALgIAAGRy&#10;cy9lMm9Eb2MueG1sUEsBAi0AFAAGAAgAAAAhAMBqW2vaAAAABwEAAA8AAAAAAAAAAAAAAAAANgUA&#10;AGRycy9kb3ducmV2LnhtbFBLBQYAAAAABAAEAPMAAAA9BgAAAAA=&#10;" fillcolor="#005d89" strokecolor="#002e44 [1604]" strokeweight="1pt">
              <v:path arrowok="t"/>
              <o:lock v:ext="edit" aspectratio="t"/>
              <v:textbox>
                <w:txbxContent>
                  <w:p w:rsidR="000217DF" w:rsidRPr="00EF1F7B" w:rsidRDefault="000217DF" w:rsidP="00C67F87">
                    <w:pPr>
                      <w:pStyle w:val="Fuzeile"/>
                    </w:pPr>
                    <w:proofErr w:type="spellStart"/>
                    <w:r w:rsidRPr="00EF1F7B">
                      <w:t>fghfgh</w:t>
                    </w:r>
                    <w:proofErr w:type="spellEnd"/>
                  </w:p>
                </w:txbxContent>
              </v:textbox>
              <w10:wrap anchorx="page" anchory="page"/>
              <w10:anchorlock/>
            </v:rect>
          </w:pict>
        </mc:Fallback>
      </mc:AlternateContent>
    </w:r>
    <w:r>
      <w:tab/>
    </w:r>
  </w:p>
</w:hdr>
</file>

<file path=word/header7.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217DF" w:rsidRPr="005807E2" w:rsidRDefault="000217DF" w:rsidP="005807E2">
    <w:pPr>
      <w:pStyle w:val="Kopfzeile"/>
    </w:pPr>
    <w:r>
      <w:rPr>
        <w:noProof/>
        <w:lang w:eastAsia="de-AT"/>
      </w:rPr>
      <mc:AlternateContent>
        <mc:Choice Requires="wps">
          <w:drawing>
            <wp:anchor distT="0" distB="0" distL="114300" distR="114300" simplePos="0" relativeHeight="251660293" behindDoc="1" locked="1" layoutInCell="1" allowOverlap="1" wp14:anchorId="76CB184D" wp14:editId="687049E4">
              <wp:simplePos x="0" y="0"/>
              <wp:positionH relativeFrom="page">
                <wp:posOffset>-1572895</wp:posOffset>
              </wp:positionH>
              <wp:positionV relativeFrom="page">
                <wp:posOffset>-6985</wp:posOffset>
              </wp:positionV>
              <wp:extent cx="10692000" cy="10692000"/>
              <wp:effectExtent l="0" t="0" r="14605" b="14605"/>
              <wp:wrapNone/>
              <wp:docPr id="10" name="Rechteck 10">
                <a:extLst xmlns:a="http://schemas.openxmlformats.org/drawingml/2006/main">
                  <a:ext uri="{C183D7F6-B498-43B3-948B-1728B52AA6E4}">
                    <adec:decorative xmlns=""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urn:schemas-microsoft-com:office:office" xmlns:oel="http://schemas.microsoft.com/office/2019/extlst" xmlns:v="urn:schemas-microsoft-com:vml" xmlns:w10="urn:schemas-microsoft-com:office:word" xmlns:w="http://schemas.openxmlformats.org/wordprocessingml/2006/main" xmlns:w16cex="http://schemas.microsoft.com/office/word/2018/wordml/cex" xmlns:w16cid="http://schemas.microsoft.com/office/word/2016/wordml/cid" xmlns:w16="http://schemas.microsoft.com/office/word/2018/wordml" xmlns:w16sdtdh="http://schemas.microsoft.com/office/word/2020/wordml/sdtdatahash"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wps:cNvSpPr>
                    <wps:spPr>
                      <a:xfrm>
                        <a:off x="0" y="0"/>
                        <a:ext cx="10692000" cy="10692000"/>
                      </a:xfrm>
                      <a:prstGeom prst="rect">
                        <a:avLst/>
                      </a:prstGeom>
                      <a:solidFill>
                        <a:srgbClr val="005D89"/>
                      </a:solidFill>
                    </wps:spPr>
                    <wps:style>
                      <a:lnRef idx="2">
                        <a:schemeClr val="accent1">
                          <a:shade val="50000"/>
                        </a:schemeClr>
                      </a:lnRef>
                      <a:fillRef idx="1">
                        <a:schemeClr val="accent1"/>
                      </a:fillRef>
                      <a:effectRef idx="0">
                        <a:schemeClr val="accent1"/>
                      </a:effectRef>
                      <a:fontRef idx="minor">
                        <a:schemeClr val="lt1"/>
                      </a:fontRef>
                    </wps:style>
                    <wps:txbx>
                      <w:txbxContent>
                        <w:p w:rsidR="000217DF" w:rsidRPr="00EF1F7B" w:rsidRDefault="000217DF" w:rsidP="005807E2">
                          <w:pPr>
                            <w:pStyle w:val="Fuzeile"/>
                          </w:pPr>
                          <w:r w:rsidRPr="00EF1F7B">
                            <w:t>fghfgh</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76CB184D" id="Rechteck 10" o:spid="_x0000_s1028" style="position:absolute;left:0;text-align:left;margin-left:-123.85pt;margin-top:-.55pt;width:841.9pt;height:841.9pt;z-index:-251656187;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HwJb4AIAAAQGAAAOAAAAZHJzL2Uyb0RvYy54bWysVEtv2zAMvg/YfxB0Tx2nSZoEdYo8lmFA&#10;0AZth54VWY6NyqImKa8N+++jZMfJ2p6GXQRRJD/yIyne3h1KSXbC2AJUQuOrNiVCcUgLtUno9+dF&#10;a0CJdUylTIISCT0KS+/Gnz/d7vVIdCAHmQpDEETZ0V4nNHdOj6LI8lyUzF6BFgqVGZiSORTNJkoN&#10;2yN6KaNOu92P9mBSbYALa/F1XinpOOBnmeDuIcuscEQmFHNz4TThXPszGt+y0cYwnRe8ToP9QxYl&#10;KxQGbaDmzDGyNcU7qLLgBixk7opDGUGWFVwEDsgmbr9h85QzLQIXLI7VTZns/4Pl97uVIUWKvcPy&#10;KFZijx4Fz53grwSfPCdxcEvr6lvF6tcsHlzPbxb91rQ7HLS619Pr1rA7mLbim85g2utMJv0v3d++&#10;utHZP9prOwoBfXvC9UmvjAe2egn81RIFs5ypjZhYja3DpALEX8ZesLXbITOld8c6kkNo6rFpKmZN&#10;OD7G7f4QJwXZcVQ2UpXaCUAb674KKIm/JNRg8ECd7ZB5ZXoyCemCLNJFIWUQzGY9k4bsmJ+xdm8+&#10;GNbE7dkscK/SDgTcUQrvLNWjyLD+mGgnRAyTLxo8xrlQLq5UOUtFFaaHhMLwYnkbj1DsAOiRM0yv&#10;wa4B/K96j13xq+29qwgfp3GupqAJU2VwSqxu8ckjRAblGueyUGA+YiaRVR25ssf0L0rjr+6wPoTZ&#10;7HhL/7KG9IjzaqD6yFbzRYEdWzLrVszgz8U24zZyD3hkEvYJhfpGSQ7m50fv3h4/FGop2eMmSKj9&#10;sWVGUCK/Kfxqw7jb9asjCN3eTQcFc6lZX2rUtpwBDkKMe0/zcPX2Tp6umYHyBZfWxEdFFVMcYyeU&#10;O3MSZq7aULj2uJhMghmuC83cUj1p7sF9nf1EPh9emNH12Dqc+Xs4bQ02ejO9la33VDDZOsiKMNrn&#10;utYdwFUTRqlei36XXcrB6ry8x38AAAD//wMAUEsDBBQABgAIAAAAIQAyydVL4QAAAA0BAAAPAAAA&#10;ZHJzL2Rvd25yZXYueG1sTI+xTsMwEIZ3JN7BOiQW1DoJJanSOBUgMTLQwsDmxm6S1j6b2GkDT891&#10;gu073a//vqvWkzXspIfQOxSQzhNgGhunemwFvG9fZktgIUpU0jjUAr51gHV9fVXJUrkzvunTJraM&#10;SjCUUkAXoy85D02nrQxz5zXSbu8GKyONQ8vVIM9Ubg3PkiTnVvZIFzrp9XOnm+NmtAKyD+OPLv15&#10;ePr82jtvh7sDvo5C3N5MjytgUU/xLwwXfVKHmpx2bkQVmBEwyxZFQVmiNAV2SSzuc6IdUb7MCuB1&#10;xf9/Uf8CAAD//wMAUEsBAi0AFAAGAAgAAAAhALaDOJL+AAAA4QEAABMAAAAAAAAAAAAAAAAAAAAA&#10;AFtDb250ZW50X1R5cGVzXS54bWxQSwECLQAUAAYACAAAACEAOP0h/9YAAACUAQAACwAAAAAAAAAA&#10;AAAAAAAvAQAAX3JlbHMvLnJlbHNQSwECLQAUAAYACAAAACEA3R8CW+ACAAAEBgAADgAAAAAAAAAA&#10;AAAAAAAuAgAAZHJzL2Uyb0RvYy54bWxQSwECLQAUAAYACAAAACEAMsnVS+EAAAANAQAADwAAAAAA&#10;AAAAAAAAAAA6BQAAZHJzL2Rvd25yZXYueG1sUEsFBgAAAAAEAAQA8wAAAEgGAAAAAA==&#10;" fillcolor="#005d89" strokecolor="#002e44 [1604]" strokeweight="1pt">
              <v:path arrowok="t"/>
              <o:lock v:ext="edit" aspectratio="t"/>
              <v:textbox>
                <w:txbxContent>
                  <w:p w:rsidR="000217DF" w:rsidRPr="00EF1F7B" w:rsidRDefault="000217DF" w:rsidP="005807E2">
                    <w:pPr>
                      <w:pStyle w:val="Fuzeile"/>
                    </w:pPr>
                    <w:proofErr w:type="spellStart"/>
                    <w:r w:rsidRPr="00EF1F7B">
                      <w:t>fghfgh</w:t>
                    </w:r>
                    <w:proofErr w:type="spellEnd"/>
                  </w:p>
                </w:txbxContent>
              </v:textbox>
              <w10:wrap anchorx="page" anchory="page"/>
              <w10:anchorlock/>
            </v:rect>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B725B2"/>
    <w:multiLevelType w:val="multilevel"/>
    <w:tmpl w:val="FAC62D7E"/>
    <w:styleLink w:val="KMFAListemehrereEbenen"/>
    <w:lvl w:ilvl="0">
      <w:start w:val="1"/>
      <w:numFmt w:val="decimal"/>
      <w:lvlText w:val="%1."/>
      <w:lvlJc w:val="left"/>
      <w:pPr>
        <w:ind w:left="369" w:hanging="369"/>
      </w:pPr>
      <w:rPr>
        <w:rFonts w:asciiTheme="minorHAnsi" w:hAnsiTheme="minorHAnsi" w:hint="default"/>
        <w:b w:val="0"/>
        <w:color w:val="005D89"/>
        <w:sz w:val="23"/>
      </w:rPr>
    </w:lvl>
    <w:lvl w:ilvl="1">
      <w:start w:val="1"/>
      <w:numFmt w:val="decimal"/>
      <w:lvlText w:val="%1.%2."/>
      <w:lvlJc w:val="left"/>
      <w:pPr>
        <w:tabs>
          <w:tab w:val="num" w:pos="964"/>
        </w:tabs>
        <w:ind w:left="964" w:hanging="595"/>
      </w:pPr>
      <w:rPr>
        <w:rFonts w:asciiTheme="minorHAnsi" w:hAnsiTheme="minorHAnsi" w:hint="default"/>
        <w:color w:val="005D89"/>
        <w:sz w:val="23"/>
      </w:rPr>
    </w:lvl>
    <w:lvl w:ilvl="2">
      <w:start w:val="1"/>
      <w:numFmt w:val="decimal"/>
      <w:lvlText w:val="%1.%2.%3."/>
      <w:lvlJc w:val="left"/>
      <w:pPr>
        <w:tabs>
          <w:tab w:val="num" w:pos="1786"/>
        </w:tabs>
        <w:ind w:left="1786" w:hanging="822"/>
      </w:pPr>
      <w:rPr>
        <w:rFonts w:asciiTheme="minorHAnsi" w:hAnsiTheme="minorHAnsi" w:hint="default"/>
        <w:color w:val="005D89"/>
        <w:sz w:val="23"/>
      </w:rPr>
    </w:lvl>
    <w:lvl w:ilvl="3">
      <w:start w:val="1"/>
      <w:numFmt w:val="decimal"/>
      <w:lvlText w:val="%1.%2.%3.%4."/>
      <w:lvlJc w:val="left"/>
      <w:pPr>
        <w:tabs>
          <w:tab w:val="num" w:pos="2892"/>
        </w:tabs>
        <w:ind w:left="2892" w:hanging="1106"/>
      </w:pPr>
      <w:rPr>
        <w:rFonts w:asciiTheme="minorHAnsi" w:hAnsiTheme="minorHAnsi" w:hint="default"/>
        <w:color w:val="005D89"/>
        <w:sz w:val="23"/>
      </w:rPr>
    </w:lvl>
    <w:lvl w:ilvl="4">
      <w:start w:val="1"/>
      <w:numFmt w:val="decimal"/>
      <w:lvlText w:val="%1.%2.%3.%4.%5."/>
      <w:lvlJc w:val="left"/>
      <w:pPr>
        <w:tabs>
          <w:tab w:val="num" w:pos="4309"/>
        </w:tabs>
        <w:ind w:left="4309" w:hanging="1417"/>
      </w:pPr>
      <w:rPr>
        <w:rFonts w:asciiTheme="minorHAnsi" w:hAnsiTheme="minorHAnsi" w:hint="default"/>
        <w:color w:val="005D89"/>
        <w:sz w:val="23"/>
      </w:rPr>
    </w:lvl>
    <w:lvl w:ilvl="5">
      <w:start w:val="1"/>
      <w:numFmt w:val="decimal"/>
      <w:lvlText w:val="%1.%2.%3.%4.%5.%6."/>
      <w:lvlJc w:val="left"/>
      <w:pPr>
        <w:tabs>
          <w:tab w:val="num" w:pos="6010"/>
        </w:tabs>
        <w:ind w:left="6010" w:hanging="1701"/>
      </w:pPr>
      <w:rPr>
        <w:rFonts w:asciiTheme="minorHAnsi" w:hAnsiTheme="minorHAnsi" w:hint="default"/>
        <w:color w:val="005D89"/>
        <w:sz w:val="23"/>
      </w:rPr>
    </w:lvl>
    <w:lvl w:ilvl="6">
      <w:start w:val="1"/>
      <w:numFmt w:val="lowerLetter"/>
      <w:lvlText w:val="%1.%2.%3.%4.%5.%6.%7."/>
      <w:lvlJc w:val="left"/>
      <w:pPr>
        <w:tabs>
          <w:tab w:val="num" w:pos="6010"/>
        </w:tabs>
        <w:ind w:left="6010" w:hanging="1701"/>
      </w:pPr>
      <w:rPr>
        <w:rFonts w:asciiTheme="minorHAnsi" w:hAnsiTheme="minorHAnsi" w:hint="default"/>
        <w:color w:val="005D89"/>
        <w:sz w:val="23"/>
      </w:rPr>
    </w:lvl>
    <w:lvl w:ilvl="7">
      <w:start w:val="1"/>
      <w:numFmt w:val="lowerLetter"/>
      <w:lvlText w:val="%1.%2.%3.%4.%5.%6.%7.%8."/>
      <w:lvlJc w:val="left"/>
      <w:pPr>
        <w:ind w:left="3744" w:hanging="1224"/>
      </w:pPr>
      <w:rPr>
        <w:rFonts w:asciiTheme="majorHAnsi" w:hAnsiTheme="majorHAnsi" w:hint="default"/>
        <w:sz w:val="23"/>
      </w:rPr>
    </w:lvl>
    <w:lvl w:ilvl="8">
      <w:start w:val="1"/>
      <w:numFmt w:val="lowerLetter"/>
      <w:lvlText w:val="%1.%2.%3.%4.%5.%6.%7.%8.%9."/>
      <w:lvlJc w:val="left"/>
      <w:pPr>
        <w:ind w:left="4320" w:hanging="1440"/>
      </w:pPr>
      <w:rPr>
        <w:rFonts w:asciiTheme="majorHAnsi" w:hAnsiTheme="majorHAnsi" w:hint="default"/>
        <w:sz w:val="23"/>
      </w:rPr>
    </w:lvl>
  </w:abstractNum>
  <w:abstractNum w:abstractNumId="1" w15:restartNumberingAfterBreak="0">
    <w:nsid w:val="022033E3"/>
    <w:multiLevelType w:val="multilevel"/>
    <w:tmpl w:val="0407001D"/>
    <w:numStyleLink w:val="KMFAAufzhlungszeichenmehrereEbenen"/>
  </w:abstractNum>
  <w:abstractNum w:abstractNumId="2" w15:restartNumberingAfterBreak="0">
    <w:nsid w:val="1E596A72"/>
    <w:multiLevelType w:val="multilevel"/>
    <w:tmpl w:val="37028F5C"/>
    <w:lvl w:ilvl="0">
      <w:start w:val="1"/>
      <w:numFmt w:val="decimal"/>
      <w:pStyle w:val="berschrift1"/>
      <w:suff w:val="space"/>
      <w:lvlText w:val="%1 |"/>
      <w:lvlJc w:val="left"/>
      <w:pPr>
        <w:ind w:left="0" w:firstLine="0"/>
      </w:pPr>
      <w:rPr>
        <w:rFonts w:asciiTheme="majorHAnsi" w:hAnsiTheme="majorHAnsi" w:hint="default"/>
        <w:b w:val="0"/>
        <w:i w:val="0"/>
        <w:color w:val="EC6608"/>
        <w:sz w:val="36"/>
      </w:rPr>
    </w:lvl>
    <w:lvl w:ilvl="1">
      <w:start w:val="1"/>
      <w:numFmt w:val="decimal"/>
      <w:pStyle w:val="berschrift2"/>
      <w:suff w:val="space"/>
      <w:lvlText w:val="%1.%2 |"/>
      <w:lvlJc w:val="left"/>
      <w:pPr>
        <w:ind w:left="0" w:firstLine="0"/>
      </w:pPr>
      <w:rPr>
        <w:rFonts w:asciiTheme="majorHAnsi" w:hAnsiTheme="majorHAnsi" w:hint="default"/>
        <w:b w:val="0"/>
        <w:i w:val="0"/>
        <w:color w:val="EC6608"/>
        <w:sz w:val="32"/>
      </w:rPr>
    </w:lvl>
    <w:lvl w:ilvl="2">
      <w:start w:val="1"/>
      <w:numFmt w:val="decimal"/>
      <w:pStyle w:val="berschrift3"/>
      <w:suff w:val="space"/>
      <w:lvlText w:val="%1.%2.%3 |"/>
      <w:lvlJc w:val="left"/>
      <w:pPr>
        <w:ind w:left="0" w:firstLine="0"/>
      </w:pPr>
      <w:rPr>
        <w:rFonts w:asciiTheme="majorHAnsi" w:hAnsiTheme="majorHAnsi" w:hint="default"/>
        <w:b w:val="0"/>
        <w:i w:val="0"/>
        <w:color w:val="EC6608"/>
        <w:sz w:val="26"/>
      </w:rPr>
    </w:lvl>
    <w:lvl w:ilvl="3">
      <w:start w:val="1"/>
      <w:numFmt w:val="decimal"/>
      <w:pStyle w:val="berschrift4"/>
      <w:suff w:val="space"/>
      <w:lvlText w:val="%1.%2.%3.%4 |"/>
      <w:lvlJc w:val="left"/>
      <w:pPr>
        <w:ind w:left="0" w:firstLine="0"/>
      </w:pPr>
      <w:rPr>
        <w:rFonts w:asciiTheme="majorHAnsi" w:hAnsiTheme="majorHAnsi" w:hint="default"/>
        <w:b w:val="0"/>
        <w:i w:val="0"/>
        <w:color w:val="EC6608"/>
        <w:sz w:val="23"/>
      </w:rPr>
    </w:lvl>
    <w:lvl w:ilvl="4">
      <w:start w:val="1"/>
      <w:numFmt w:val="decimal"/>
      <w:pStyle w:val="berschrift5"/>
      <w:suff w:val="space"/>
      <w:lvlText w:val="%1.%2.%3.%4.%5 |"/>
      <w:lvlJc w:val="left"/>
      <w:pPr>
        <w:ind w:left="0" w:firstLine="0"/>
      </w:pPr>
      <w:rPr>
        <w:rFonts w:asciiTheme="majorHAnsi" w:hAnsiTheme="majorHAnsi" w:hint="default"/>
        <w:b w:val="0"/>
        <w:i w:val="0"/>
        <w:color w:val="EC6608"/>
        <w:sz w:val="23"/>
      </w:rPr>
    </w:lvl>
    <w:lvl w:ilvl="5">
      <w:start w:val="1"/>
      <w:numFmt w:val="decimal"/>
      <w:pStyle w:val="berschrift6"/>
      <w:suff w:val="space"/>
      <w:lvlText w:val="%1.%2.%3.%4.%5.%6 |"/>
      <w:lvlJc w:val="left"/>
      <w:pPr>
        <w:ind w:left="0" w:firstLine="0"/>
      </w:pPr>
      <w:rPr>
        <w:rFonts w:asciiTheme="majorHAnsi" w:hAnsiTheme="majorHAnsi" w:hint="default"/>
        <w:b w:val="0"/>
        <w:i w:val="0"/>
        <w:color w:val="EC6608"/>
        <w:sz w:val="23"/>
      </w:rPr>
    </w:lvl>
    <w:lvl w:ilvl="6">
      <w:start w:val="1"/>
      <w:numFmt w:val="decimal"/>
      <w:pStyle w:val="berschrift7"/>
      <w:lvlText w:val="%1.%2.%3.%4.%5.%6.%7"/>
      <w:lvlJc w:val="left"/>
      <w:pPr>
        <w:ind w:left="1296" w:hanging="1296"/>
      </w:pPr>
      <w:rPr>
        <w:rFonts w:hint="default"/>
      </w:rPr>
    </w:lvl>
    <w:lvl w:ilvl="7">
      <w:start w:val="1"/>
      <w:numFmt w:val="decimal"/>
      <w:pStyle w:val="berschrift8"/>
      <w:lvlText w:val="%1.%2.%3.%4.%5.%6.%7.%8"/>
      <w:lvlJc w:val="left"/>
      <w:pPr>
        <w:ind w:left="1440" w:hanging="1440"/>
      </w:pPr>
      <w:rPr>
        <w:rFonts w:hint="default"/>
      </w:rPr>
    </w:lvl>
    <w:lvl w:ilvl="8">
      <w:start w:val="1"/>
      <w:numFmt w:val="decimal"/>
      <w:pStyle w:val="berschrift9"/>
      <w:lvlText w:val="%1.%2.%3.%4.%5.%6.%7.%8.%9"/>
      <w:lvlJc w:val="left"/>
      <w:pPr>
        <w:ind w:left="1584" w:hanging="1584"/>
      </w:pPr>
      <w:rPr>
        <w:rFonts w:hint="default"/>
      </w:rPr>
    </w:lvl>
  </w:abstractNum>
  <w:abstractNum w:abstractNumId="3" w15:restartNumberingAfterBreak="0">
    <w:nsid w:val="228A3FCE"/>
    <w:multiLevelType w:val="multilevel"/>
    <w:tmpl w:val="0407001D"/>
    <w:numStyleLink w:val="KMFAAufzhlungszeichenmehrereEbenen"/>
  </w:abstractNum>
  <w:abstractNum w:abstractNumId="4" w15:restartNumberingAfterBreak="0">
    <w:nsid w:val="2CF153D7"/>
    <w:multiLevelType w:val="multilevel"/>
    <w:tmpl w:val="0407001D"/>
    <w:styleLink w:val="KMFAAufzhlungszeichenmehrereEbenen"/>
    <w:lvl w:ilvl="0">
      <w:start w:val="1"/>
      <w:numFmt w:val="bullet"/>
      <w:lvlText w:val="§"/>
      <w:lvlJc w:val="left"/>
      <w:pPr>
        <w:ind w:left="360" w:hanging="360"/>
      </w:pPr>
      <w:rPr>
        <w:rFonts w:ascii="Wingdings" w:hAnsi="Wingdings" w:hint="default"/>
        <w:b w:val="0"/>
        <w:color w:val="005D89"/>
      </w:rPr>
    </w:lvl>
    <w:lvl w:ilvl="1">
      <w:start w:val="1"/>
      <w:numFmt w:val="bullet"/>
      <w:lvlText w:val="§"/>
      <w:lvlJc w:val="left"/>
      <w:pPr>
        <w:ind w:left="720" w:hanging="360"/>
      </w:pPr>
      <w:rPr>
        <w:rFonts w:ascii="Wingdings" w:hAnsi="Wingdings" w:hint="default"/>
        <w:color w:val="1976A2"/>
      </w:rPr>
    </w:lvl>
    <w:lvl w:ilvl="2">
      <w:start w:val="1"/>
      <w:numFmt w:val="bullet"/>
      <w:lvlText w:val="§"/>
      <w:lvlJc w:val="left"/>
      <w:pPr>
        <w:ind w:left="1080" w:hanging="360"/>
      </w:pPr>
      <w:rPr>
        <w:rFonts w:ascii="Wingdings" w:hAnsi="Wingdings" w:hint="default"/>
        <w:b w:val="0"/>
        <w:color w:val="328FBB"/>
      </w:rPr>
    </w:lvl>
    <w:lvl w:ilvl="3">
      <w:start w:val="1"/>
      <w:numFmt w:val="bullet"/>
      <w:lvlText w:val="§"/>
      <w:lvlJc w:val="left"/>
      <w:pPr>
        <w:ind w:left="1440" w:hanging="360"/>
      </w:pPr>
      <w:rPr>
        <w:rFonts w:ascii="Wingdings" w:hAnsi="Wingdings" w:hint="default"/>
        <w:b w:val="0"/>
        <w:color w:val="4BA8D4"/>
      </w:rPr>
    </w:lvl>
    <w:lvl w:ilvl="4">
      <w:start w:val="1"/>
      <w:numFmt w:val="bullet"/>
      <w:lvlText w:val="§"/>
      <w:lvlJc w:val="left"/>
      <w:pPr>
        <w:ind w:left="1800" w:hanging="360"/>
      </w:pPr>
      <w:rPr>
        <w:rFonts w:ascii="Wingdings" w:hAnsi="Wingdings" w:hint="default"/>
        <w:color w:val="64C1ED"/>
      </w:rPr>
    </w:lvl>
    <w:lvl w:ilvl="5">
      <w:start w:val="1"/>
      <w:numFmt w:val="bullet"/>
      <w:lvlText w:val="§"/>
      <w:lvlJc w:val="left"/>
      <w:pPr>
        <w:ind w:left="2160" w:hanging="360"/>
      </w:pPr>
      <w:rPr>
        <w:rFonts w:ascii="Wingdings" w:hAnsi="Wingdings" w:hint="default"/>
        <w:color w:val="7DDAFF"/>
      </w:rPr>
    </w:lvl>
    <w:lvl w:ilvl="6">
      <w:start w:val="1"/>
      <w:numFmt w:val="none"/>
      <w:lvlText w:val="%7"/>
      <w:lvlJc w:val="left"/>
      <w:pPr>
        <w:ind w:left="2520" w:hanging="360"/>
      </w:pPr>
      <w:rPr>
        <w:rFonts w:ascii="Wingdings" w:hAnsi="Wingdings" w:hint="default"/>
        <w:color w:val="7DDAFF"/>
      </w:rPr>
    </w:lvl>
    <w:lvl w:ilvl="7">
      <w:start w:val="1"/>
      <w:numFmt w:val="none"/>
      <w:lvlText w:val="%8"/>
      <w:lvlJc w:val="left"/>
      <w:pPr>
        <w:ind w:left="2880" w:hanging="360"/>
      </w:pPr>
      <w:rPr>
        <w:rFonts w:ascii="Wingdings" w:hAnsi="Wingdings" w:hint="default"/>
        <w:color w:val="7DDAFF"/>
      </w:rPr>
    </w:lvl>
    <w:lvl w:ilvl="8">
      <w:start w:val="1"/>
      <w:numFmt w:val="none"/>
      <w:lvlText w:val="%9"/>
      <w:lvlJc w:val="left"/>
      <w:pPr>
        <w:ind w:left="3240" w:hanging="360"/>
      </w:pPr>
      <w:rPr>
        <w:rFonts w:ascii="Wingdings" w:hAnsi="Wingdings" w:hint="default"/>
        <w:color w:val="7DDAFF"/>
      </w:rPr>
    </w:lvl>
  </w:abstractNum>
  <w:abstractNum w:abstractNumId="5" w15:restartNumberingAfterBreak="0">
    <w:nsid w:val="35165CCF"/>
    <w:multiLevelType w:val="multilevel"/>
    <w:tmpl w:val="0407001D"/>
    <w:numStyleLink w:val="KMFAAufzhlungszeichenmehrereEbenen"/>
  </w:abstractNum>
  <w:abstractNum w:abstractNumId="6" w15:restartNumberingAfterBreak="0">
    <w:nsid w:val="3D8F4B31"/>
    <w:multiLevelType w:val="multilevel"/>
    <w:tmpl w:val="A692C802"/>
    <w:styleLink w:val="KMFAListeberschriften"/>
    <w:lvl w:ilvl="0">
      <w:start w:val="1"/>
      <w:numFmt w:val="decimal"/>
      <w:suff w:val="space"/>
      <w:lvlText w:val="%1 |"/>
      <w:lvlJc w:val="left"/>
      <w:pPr>
        <w:ind w:left="0" w:firstLine="0"/>
      </w:pPr>
      <w:rPr>
        <w:rFonts w:asciiTheme="majorHAnsi" w:hAnsiTheme="majorHAnsi" w:hint="default"/>
        <w:b w:val="0"/>
        <w:i w:val="0"/>
        <w:color w:val="EC6608"/>
      </w:rPr>
    </w:lvl>
    <w:lvl w:ilvl="1">
      <w:start w:val="1"/>
      <w:numFmt w:val="decimal"/>
      <w:suff w:val="space"/>
      <w:lvlText w:val="%1.%2 |"/>
      <w:lvlJc w:val="left"/>
      <w:pPr>
        <w:ind w:left="0" w:firstLine="0"/>
      </w:pPr>
      <w:rPr>
        <w:rFonts w:asciiTheme="majorHAnsi" w:hAnsiTheme="majorHAnsi" w:hint="default"/>
        <w:b w:val="0"/>
        <w:i w:val="0"/>
        <w:color w:val="EC6608"/>
      </w:rPr>
    </w:lvl>
    <w:lvl w:ilvl="2">
      <w:start w:val="1"/>
      <w:numFmt w:val="decimal"/>
      <w:isLgl/>
      <w:suff w:val="space"/>
      <w:lvlText w:val="%1.%2.%3 |"/>
      <w:lvlJc w:val="left"/>
      <w:pPr>
        <w:ind w:left="0" w:firstLine="0"/>
      </w:pPr>
      <w:rPr>
        <w:rFonts w:asciiTheme="majorHAnsi" w:hAnsiTheme="majorHAnsi" w:hint="default"/>
        <w:b w:val="0"/>
        <w:i w:val="0"/>
        <w:color w:val="EC6608"/>
      </w:rPr>
    </w:lvl>
    <w:lvl w:ilvl="3">
      <w:start w:val="1"/>
      <w:numFmt w:val="decimal"/>
      <w:isLgl/>
      <w:suff w:val="space"/>
      <w:lvlText w:val="%1.%2.%3.%4 |"/>
      <w:lvlJc w:val="left"/>
      <w:pPr>
        <w:ind w:left="0" w:firstLine="0"/>
      </w:pPr>
      <w:rPr>
        <w:rFonts w:asciiTheme="majorHAnsi" w:hAnsiTheme="majorHAnsi" w:hint="default"/>
        <w:b w:val="0"/>
        <w:i w:val="0"/>
        <w:color w:val="EC6608"/>
      </w:rPr>
    </w:lvl>
    <w:lvl w:ilvl="4">
      <w:start w:val="1"/>
      <w:numFmt w:val="decimal"/>
      <w:isLgl/>
      <w:suff w:val="space"/>
      <w:lvlText w:val="%1.%2.%3.%4.%5 |"/>
      <w:lvlJc w:val="left"/>
      <w:pPr>
        <w:ind w:left="0" w:firstLine="0"/>
      </w:pPr>
      <w:rPr>
        <w:rFonts w:asciiTheme="majorHAnsi" w:hAnsiTheme="majorHAnsi" w:hint="default"/>
        <w:b w:val="0"/>
        <w:i w:val="0"/>
        <w:color w:val="EC6608"/>
      </w:rPr>
    </w:lvl>
    <w:lvl w:ilvl="5">
      <w:start w:val="1"/>
      <w:numFmt w:val="decimal"/>
      <w:isLgl/>
      <w:suff w:val="space"/>
      <w:lvlText w:val="%1.%2.%3.%4.%5.%6 |"/>
      <w:lvlJc w:val="left"/>
      <w:pPr>
        <w:ind w:left="0" w:firstLine="0"/>
      </w:pPr>
      <w:rPr>
        <w:rFonts w:asciiTheme="majorHAnsi" w:hAnsiTheme="majorHAnsi" w:hint="default"/>
        <w:b w:val="0"/>
        <w:i w:val="0"/>
        <w:color w:val="EC6608"/>
      </w:rPr>
    </w:lvl>
    <w:lvl w:ilvl="6">
      <w:start w:val="1"/>
      <w:numFmt w:val="lowerRoman"/>
      <w:lvlText w:val="(%7)"/>
      <w:lvlJc w:val="left"/>
      <w:pPr>
        <w:ind w:left="4320" w:firstLine="0"/>
      </w:pPr>
      <w:rPr>
        <w:rFonts w:hint="default"/>
      </w:rPr>
    </w:lvl>
    <w:lvl w:ilvl="7">
      <w:start w:val="1"/>
      <w:numFmt w:val="lowerLetter"/>
      <w:lvlText w:val="(%8)"/>
      <w:lvlJc w:val="left"/>
      <w:pPr>
        <w:ind w:left="5040" w:firstLine="0"/>
      </w:pPr>
      <w:rPr>
        <w:rFonts w:hint="default"/>
      </w:rPr>
    </w:lvl>
    <w:lvl w:ilvl="8">
      <w:start w:val="1"/>
      <w:numFmt w:val="lowerRoman"/>
      <w:lvlText w:val="(%9)"/>
      <w:lvlJc w:val="left"/>
      <w:pPr>
        <w:ind w:left="5760" w:firstLine="0"/>
      </w:pPr>
      <w:rPr>
        <w:rFonts w:hint="default"/>
      </w:rPr>
    </w:lvl>
  </w:abstractNum>
  <w:abstractNum w:abstractNumId="7" w15:restartNumberingAfterBreak="0">
    <w:nsid w:val="3E9358D7"/>
    <w:multiLevelType w:val="multilevel"/>
    <w:tmpl w:val="FAC62D7E"/>
    <w:numStyleLink w:val="KMFAListemehrereEbenen"/>
  </w:abstractNum>
  <w:abstractNum w:abstractNumId="8" w15:restartNumberingAfterBreak="0">
    <w:nsid w:val="490456C7"/>
    <w:multiLevelType w:val="multilevel"/>
    <w:tmpl w:val="0407001D"/>
    <w:numStyleLink w:val="KMFAAufzhlungszeichenmehrereEbenen"/>
  </w:abstractNum>
  <w:abstractNum w:abstractNumId="9" w15:restartNumberingAfterBreak="0">
    <w:nsid w:val="4A3638E0"/>
    <w:multiLevelType w:val="multilevel"/>
    <w:tmpl w:val="0407001D"/>
    <w:numStyleLink w:val="KMFAAufzhlungszeichenmehrereEbenen"/>
  </w:abstractNum>
  <w:abstractNum w:abstractNumId="10" w15:restartNumberingAfterBreak="0">
    <w:nsid w:val="4CF1106C"/>
    <w:multiLevelType w:val="multilevel"/>
    <w:tmpl w:val="0407001D"/>
    <w:numStyleLink w:val="KMFAAufzhlungszeichenmehrereEbenen"/>
  </w:abstractNum>
  <w:abstractNum w:abstractNumId="11" w15:restartNumberingAfterBreak="0">
    <w:nsid w:val="5B5D5319"/>
    <w:multiLevelType w:val="multilevel"/>
    <w:tmpl w:val="0407001D"/>
    <w:numStyleLink w:val="KMFAAufzhlungszeichenmehrereEbenen"/>
  </w:abstractNum>
  <w:abstractNum w:abstractNumId="12" w15:restartNumberingAfterBreak="0">
    <w:nsid w:val="63562B89"/>
    <w:multiLevelType w:val="multilevel"/>
    <w:tmpl w:val="0407001D"/>
    <w:numStyleLink w:val="KMFAAufzhlungszeichenmehrereEbenen"/>
  </w:abstractNum>
  <w:abstractNum w:abstractNumId="13" w15:restartNumberingAfterBreak="0">
    <w:nsid w:val="6A980FC9"/>
    <w:multiLevelType w:val="multilevel"/>
    <w:tmpl w:val="0407001D"/>
    <w:numStyleLink w:val="KMFAAufzhlungszeichenmehrereEbenen"/>
  </w:abstractNum>
  <w:abstractNum w:abstractNumId="14" w15:restartNumberingAfterBreak="0">
    <w:nsid w:val="78732611"/>
    <w:multiLevelType w:val="multilevel"/>
    <w:tmpl w:val="6DF23D22"/>
    <w:styleLink w:val="AktuelleListe1"/>
    <w:lvl w:ilvl="0">
      <w:start w:val="1"/>
      <w:numFmt w:val="decimal"/>
      <w:lvlText w:val="%1"/>
      <w:lvlJc w:val="left"/>
      <w:pPr>
        <w:ind w:left="432" w:hanging="432"/>
      </w:pPr>
      <w:rPr>
        <w:rFonts w:hint="default"/>
        <w:b w:val="0"/>
        <w:i w:val="0"/>
        <w:color w:val="EC6608"/>
      </w:rPr>
    </w:lvl>
    <w:lvl w:ilvl="1">
      <w:start w:val="1"/>
      <w:numFmt w:val="decimal"/>
      <w:lvlText w:val="%1.%2"/>
      <w:lvlJc w:val="left"/>
      <w:pPr>
        <w:ind w:left="576" w:hanging="576"/>
      </w:pPr>
      <w:rPr>
        <w:rFonts w:hint="default"/>
        <w:b w:val="0"/>
        <w:i w:val="0"/>
        <w:color w:val="EC6608"/>
      </w:rPr>
    </w:lvl>
    <w:lvl w:ilvl="2">
      <w:start w:val="1"/>
      <w:numFmt w:val="decimal"/>
      <w:lvlText w:val="%1.%2.%3"/>
      <w:lvlJc w:val="left"/>
      <w:pPr>
        <w:ind w:left="720" w:hanging="720"/>
      </w:pPr>
      <w:rPr>
        <w:rFonts w:hint="default"/>
        <w:b w:val="0"/>
        <w:i w:val="0"/>
        <w:color w:val="EC6608"/>
      </w:rPr>
    </w:lvl>
    <w:lvl w:ilvl="3">
      <w:start w:val="1"/>
      <w:numFmt w:val="decimal"/>
      <w:lvlText w:val="%1.%2.%3.%4"/>
      <w:lvlJc w:val="left"/>
      <w:pPr>
        <w:ind w:left="864" w:hanging="864"/>
      </w:pPr>
      <w:rPr>
        <w:rFonts w:hint="default"/>
        <w:b w:val="0"/>
        <w:i w:val="0"/>
        <w:color w:val="EC6608"/>
      </w:rPr>
    </w:lvl>
    <w:lvl w:ilvl="4">
      <w:start w:val="1"/>
      <w:numFmt w:val="decimal"/>
      <w:lvlText w:val="%1.%2.%3.%4.%5"/>
      <w:lvlJc w:val="left"/>
      <w:pPr>
        <w:ind w:left="1008" w:hanging="1008"/>
      </w:pPr>
      <w:rPr>
        <w:rFonts w:hint="default"/>
        <w:b w:val="0"/>
        <w:i w:val="0"/>
        <w:color w:val="EC6608"/>
      </w:rPr>
    </w:lvl>
    <w:lvl w:ilvl="5">
      <w:start w:val="1"/>
      <w:numFmt w:val="decimal"/>
      <w:lvlText w:val="%1.%2.%3.%4.%5.%6"/>
      <w:lvlJc w:val="left"/>
      <w:pPr>
        <w:ind w:left="1152" w:hanging="1152"/>
      </w:pPr>
      <w:rPr>
        <w:rFonts w:hint="default"/>
        <w:b w:val="0"/>
        <w:i w:val="0"/>
        <w:color w:val="EC6608"/>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15" w15:restartNumberingAfterBreak="0">
    <w:nsid w:val="7E107579"/>
    <w:multiLevelType w:val="multilevel"/>
    <w:tmpl w:val="0407001D"/>
    <w:numStyleLink w:val="KMFAAufzhlungszeichenmehrereEbenen"/>
  </w:abstractNum>
  <w:num w:numId="1">
    <w:abstractNumId w:val="4"/>
  </w:num>
  <w:num w:numId="2">
    <w:abstractNumId w:val="7"/>
  </w:num>
  <w:num w:numId="3">
    <w:abstractNumId w:val="0"/>
  </w:num>
  <w:num w:numId="4">
    <w:abstractNumId w:val="2"/>
  </w:num>
  <w:num w:numId="5">
    <w:abstractNumId w:val="6"/>
  </w:num>
  <w:num w:numId="6">
    <w:abstractNumId w:val="14"/>
  </w:num>
  <w:num w:numId="7">
    <w:abstractNumId w:val="11"/>
  </w:num>
  <w:num w:numId="8">
    <w:abstractNumId w:val="5"/>
  </w:num>
  <w:num w:numId="9">
    <w:abstractNumId w:val="8"/>
  </w:num>
  <w:num w:numId="10">
    <w:abstractNumId w:val="13"/>
  </w:num>
  <w:num w:numId="11">
    <w:abstractNumId w:val="15"/>
  </w:num>
  <w:num w:numId="12">
    <w:abstractNumId w:val="1"/>
  </w:num>
  <w:num w:numId="13">
    <w:abstractNumId w:val="12"/>
  </w:num>
  <w:num w:numId="14">
    <w:abstractNumId w:val="3"/>
  </w:num>
  <w:num w:numId="15">
    <w:abstractNumId w:val="10"/>
  </w:num>
  <w:num w:numId="16">
    <w:abstractNumId w:val="9"/>
  </w:num>
  <w:numIdMacAtCleanup w:val="1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attachedTemplate r:id="rId1"/>
  <w:stylePaneFormatFilter w:val="D004" w:allStyles="0" w:customStyles="0" w:latentStyles="1" w:stylesInUse="0" w:headingStyles="0" w:numberingStyles="0" w:tableStyles="0" w:directFormattingOnRuns="0" w:directFormattingOnParagraphs="0" w:directFormattingOnNumbering="0" w:directFormattingOnTables="0" w:clearFormatting="1" w:top3HeadingStyles="0" w:visibleStyles="1" w:alternateStyleNames="1"/>
  <w:stylePaneSortMethod w:val="0000"/>
  <w:defaultTabStop w:val="709"/>
  <w:hyphenationZone w:val="425"/>
  <w:evenAndOddHeaders/>
  <w:characterSpacingControl w:val="doNotCompress"/>
  <w:hdrShapeDefaults>
    <o:shapedefaults v:ext="edit" spidmax="92161"/>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C2102"/>
    <w:rsid w:val="0000158A"/>
    <w:rsid w:val="00001A52"/>
    <w:rsid w:val="000021A6"/>
    <w:rsid w:val="00004886"/>
    <w:rsid w:val="000066DE"/>
    <w:rsid w:val="000107F4"/>
    <w:rsid w:val="00011866"/>
    <w:rsid w:val="00012A1B"/>
    <w:rsid w:val="000134F1"/>
    <w:rsid w:val="00016802"/>
    <w:rsid w:val="000217DF"/>
    <w:rsid w:val="00031979"/>
    <w:rsid w:val="000331B3"/>
    <w:rsid w:val="000346A1"/>
    <w:rsid w:val="000352D0"/>
    <w:rsid w:val="000420FD"/>
    <w:rsid w:val="00042AE7"/>
    <w:rsid w:val="00045955"/>
    <w:rsid w:val="00054889"/>
    <w:rsid w:val="00061214"/>
    <w:rsid w:val="00061A0D"/>
    <w:rsid w:val="00066E77"/>
    <w:rsid w:val="00072202"/>
    <w:rsid w:val="00077542"/>
    <w:rsid w:val="00084870"/>
    <w:rsid w:val="00091148"/>
    <w:rsid w:val="0009139E"/>
    <w:rsid w:val="000921E6"/>
    <w:rsid w:val="000A0FDE"/>
    <w:rsid w:val="000A21E8"/>
    <w:rsid w:val="000A5E7C"/>
    <w:rsid w:val="000B0F97"/>
    <w:rsid w:val="000B4E89"/>
    <w:rsid w:val="000C3D69"/>
    <w:rsid w:val="000D3D3C"/>
    <w:rsid w:val="000E383B"/>
    <w:rsid w:val="000E3C87"/>
    <w:rsid w:val="000E45E3"/>
    <w:rsid w:val="000E7849"/>
    <w:rsid w:val="000F155D"/>
    <w:rsid w:val="000F2680"/>
    <w:rsid w:val="001004C9"/>
    <w:rsid w:val="00100A74"/>
    <w:rsid w:val="00103C74"/>
    <w:rsid w:val="00112D30"/>
    <w:rsid w:val="00120D1C"/>
    <w:rsid w:val="0012227E"/>
    <w:rsid w:val="001303CA"/>
    <w:rsid w:val="00131379"/>
    <w:rsid w:val="00136B96"/>
    <w:rsid w:val="00137FB4"/>
    <w:rsid w:val="00142BF6"/>
    <w:rsid w:val="001476FD"/>
    <w:rsid w:val="0014776A"/>
    <w:rsid w:val="00150B21"/>
    <w:rsid w:val="00150DDB"/>
    <w:rsid w:val="00156A67"/>
    <w:rsid w:val="00160B5D"/>
    <w:rsid w:val="00161A4A"/>
    <w:rsid w:val="00163CE8"/>
    <w:rsid w:val="00164312"/>
    <w:rsid w:val="00165E45"/>
    <w:rsid w:val="00166060"/>
    <w:rsid w:val="0016743F"/>
    <w:rsid w:val="00170E80"/>
    <w:rsid w:val="001721D2"/>
    <w:rsid w:val="00173216"/>
    <w:rsid w:val="001736E2"/>
    <w:rsid w:val="00173893"/>
    <w:rsid w:val="00176071"/>
    <w:rsid w:val="00176170"/>
    <w:rsid w:val="00176ADF"/>
    <w:rsid w:val="00176D4D"/>
    <w:rsid w:val="0017758B"/>
    <w:rsid w:val="001810A7"/>
    <w:rsid w:val="00190A81"/>
    <w:rsid w:val="00190AB7"/>
    <w:rsid w:val="001A1B48"/>
    <w:rsid w:val="001A2B32"/>
    <w:rsid w:val="001B2E3E"/>
    <w:rsid w:val="001B3E96"/>
    <w:rsid w:val="001B638B"/>
    <w:rsid w:val="001B6DE7"/>
    <w:rsid w:val="001C577D"/>
    <w:rsid w:val="001D3E77"/>
    <w:rsid w:val="001D5E02"/>
    <w:rsid w:val="001E5866"/>
    <w:rsid w:val="001E6B8B"/>
    <w:rsid w:val="001F51F7"/>
    <w:rsid w:val="001F6035"/>
    <w:rsid w:val="00203CED"/>
    <w:rsid w:val="00203D4C"/>
    <w:rsid w:val="00207882"/>
    <w:rsid w:val="00215C27"/>
    <w:rsid w:val="00221C99"/>
    <w:rsid w:val="002235D4"/>
    <w:rsid w:val="00225A6D"/>
    <w:rsid w:val="00232A18"/>
    <w:rsid w:val="002431DA"/>
    <w:rsid w:val="002439D0"/>
    <w:rsid w:val="002443FC"/>
    <w:rsid w:val="00251B99"/>
    <w:rsid w:val="00253C33"/>
    <w:rsid w:val="002547C6"/>
    <w:rsid w:val="00256E6A"/>
    <w:rsid w:val="00264E7F"/>
    <w:rsid w:val="002673C5"/>
    <w:rsid w:val="00267529"/>
    <w:rsid w:val="002829EA"/>
    <w:rsid w:val="00283732"/>
    <w:rsid w:val="00284AEB"/>
    <w:rsid w:val="00284C82"/>
    <w:rsid w:val="0028739F"/>
    <w:rsid w:val="00287922"/>
    <w:rsid w:val="002907D9"/>
    <w:rsid w:val="00295151"/>
    <w:rsid w:val="0029745F"/>
    <w:rsid w:val="002A1992"/>
    <w:rsid w:val="002A3751"/>
    <w:rsid w:val="002A470C"/>
    <w:rsid w:val="002B191D"/>
    <w:rsid w:val="002B2E81"/>
    <w:rsid w:val="002C2DB6"/>
    <w:rsid w:val="002C53F4"/>
    <w:rsid w:val="002C7FA2"/>
    <w:rsid w:val="002D2CB2"/>
    <w:rsid w:val="002D2EE7"/>
    <w:rsid w:val="002D34C2"/>
    <w:rsid w:val="002E03FA"/>
    <w:rsid w:val="002E3A77"/>
    <w:rsid w:val="002E608E"/>
    <w:rsid w:val="002E701B"/>
    <w:rsid w:val="002E70E6"/>
    <w:rsid w:val="002F520B"/>
    <w:rsid w:val="002F6D7F"/>
    <w:rsid w:val="00303807"/>
    <w:rsid w:val="00305B05"/>
    <w:rsid w:val="003060B7"/>
    <w:rsid w:val="00310595"/>
    <w:rsid w:val="0031299D"/>
    <w:rsid w:val="00313814"/>
    <w:rsid w:val="00326AEB"/>
    <w:rsid w:val="003324CA"/>
    <w:rsid w:val="00337408"/>
    <w:rsid w:val="00340050"/>
    <w:rsid w:val="0035150B"/>
    <w:rsid w:val="00370341"/>
    <w:rsid w:val="0037262C"/>
    <w:rsid w:val="00373851"/>
    <w:rsid w:val="00374B09"/>
    <w:rsid w:val="00376883"/>
    <w:rsid w:val="00380222"/>
    <w:rsid w:val="003825AB"/>
    <w:rsid w:val="00391971"/>
    <w:rsid w:val="003A1711"/>
    <w:rsid w:val="003A24B4"/>
    <w:rsid w:val="003A26DF"/>
    <w:rsid w:val="003A2952"/>
    <w:rsid w:val="003C2AE8"/>
    <w:rsid w:val="003C4E27"/>
    <w:rsid w:val="003D0B6C"/>
    <w:rsid w:val="003E5662"/>
    <w:rsid w:val="003F1E12"/>
    <w:rsid w:val="003F5D9D"/>
    <w:rsid w:val="003F6210"/>
    <w:rsid w:val="0040418A"/>
    <w:rsid w:val="00410191"/>
    <w:rsid w:val="0041032C"/>
    <w:rsid w:val="004120BC"/>
    <w:rsid w:val="004133AD"/>
    <w:rsid w:val="0042014C"/>
    <w:rsid w:val="00420D9B"/>
    <w:rsid w:val="00424A19"/>
    <w:rsid w:val="00425EAB"/>
    <w:rsid w:val="00425F58"/>
    <w:rsid w:val="00434EFA"/>
    <w:rsid w:val="00437EC4"/>
    <w:rsid w:val="00440BE7"/>
    <w:rsid w:val="00441768"/>
    <w:rsid w:val="00450630"/>
    <w:rsid w:val="00451980"/>
    <w:rsid w:val="00461027"/>
    <w:rsid w:val="00462635"/>
    <w:rsid w:val="00465FC5"/>
    <w:rsid w:val="004664EB"/>
    <w:rsid w:val="004666F2"/>
    <w:rsid w:val="00473D94"/>
    <w:rsid w:val="00475201"/>
    <w:rsid w:val="004812AA"/>
    <w:rsid w:val="00481B03"/>
    <w:rsid w:val="00482D89"/>
    <w:rsid w:val="00493F95"/>
    <w:rsid w:val="004A2032"/>
    <w:rsid w:val="004A62B2"/>
    <w:rsid w:val="004A6CFB"/>
    <w:rsid w:val="004B0B4C"/>
    <w:rsid w:val="004B1496"/>
    <w:rsid w:val="004B1601"/>
    <w:rsid w:val="004C059D"/>
    <w:rsid w:val="004C0AC1"/>
    <w:rsid w:val="004C23F0"/>
    <w:rsid w:val="004C7677"/>
    <w:rsid w:val="004D04B4"/>
    <w:rsid w:val="004D0568"/>
    <w:rsid w:val="004D211B"/>
    <w:rsid w:val="004D3343"/>
    <w:rsid w:val="004D4358"/>
    <w:rsid w:val="00506B2A"/>
    <w:rsid w:val="00511091"/>
    <w:rsid w:val="00512B20"/>
    <w:rsid w:val="00514B08"/>
    <w:rsid w:val="00524A8A"/>
    <w:rsid w:val="005250BF"/>
    <w:rsid w:val="00533026"/>
    <w:rsid w:val="00535DDC"/>
    <w:rsid w:val="00541E8C"/>
    <w:rsid w:val="005432B0"/>
    <w:rsid w:val="00547D3A"/>
    <w:rsid w:val="005507CB"/>
    <w:rsid w:val="005574FC"/>
    <w:rsid w:val="0056041E"/>
    <w:rsid w:val="0056050F"/>
    <w:rsid w:val="0056373C"/>
    <w:rsid w:val="005648A1"/>
    <w:rsid w:val="00570EB0"/>
    <w:rsid w:val="005713F8"/>
    <w:rsid w:val="00571D8F"/>
    <w:rsid w:val="00574684"/>
    <w:rsid w:val="00576775"/>
    <w:rsid w:val="00577BD2"/>
    <w:rsid w:val="005807E2"/>
    <w:rsid w:val="00581575"/>
    <w:rsid w:val="00583573"/>
    <w:rsid w:val="00590CFD"/>
    <w:rsid w:val="00593A1A"/>
    <w:rsid w:val="005964D5"/>
    <w:rsid w:val="005A3940"/>
    <w:rsid w:val="005A5785"/>
    <w:rsid w:val="005B72B4"/>
    <w:rsid w:val="005B7CEB"/>
    <w:rsid w:val="005C2102"/>
    <w:rsid w:val="005C5D12"/>
    <w:rsid w:val="005C6FA6"/>
    <w:rsid w:val="005D3DA6"/>
    <w:rsid w:val="005D5395"/>
    <w:rsid w:val="005D6138"/>
    <w:rsid w:val="005F05A5"/>
    <w:rsid w:val="005F3DB4"/>
    <w:rsid w:val="005F67D3"/>
    <w:rsid w:val="00601EE8"/>
    <w:rsid w:val="0060396E"/>
    <w:rsid w:val="00605624"/>
    <w:rsid w:val="0060708C"/>
    <w:rsid w:val="00612F7A"/>
    <w:rsid w:val="0062325D"/>
    <w:rsid w:val="006321D1"/>
    <w:rsid w:val="00634B0E"/>
    <w:rsid w:val="0064500F"/>
    <w:rsid w:val="006460E2"/>
    <w:rsid w:val="00650C58"/>
    <w:rsid w:val="0065417F"/>
    <w:rsid w:val="0066063A"/>
    <w:rsid w:val="00665226"/>
    <w:rsid w:val="00667FBB"/>
    <w:rsid w:val="00670161"/>
    <w:rsid w:val="00672AB8"/>
    <w:rsid w:val="00680554"/>
    <w:rsid w:val="00696CD6"/>
    <w:rsid w:val="00697560"/>
    <w:rsid w:val="006A0D03"/>
    <w:rsid w:val="006A0FAF"/>
    <w:rsid w:val="006A298E"/>
    <w:rsid w:val="006B3D98"/>
    <w:rsid w:val="006B60A9"/>
    <w:rsid w:val="006C16AA"/>
    <w:rsid w:val="006D27C6"/>
    <w:rsid w:val="006E2854"/>
    <w:rsid w:val="006E4A72"/>
    <w:rsid w:val="006E6F9F"/>
    <w:rsid w:val="006F242B"/>
    <w:rsid w:val="006F6264"/>
    <w:rsid w:val="0070029C"/>
    <w:rsid w:val="00702CD2"/>
    <w:rsid w:val="007037AD"/>
    <w:rsid w:val="00707420"/>
    <w:rsid w:val="007169E1"/>
    <w:rsid w:val="00716FFE"/>
    <w:rsid w:val="007262A8"/>
    <w:rsid w:val="00726343"/>
    <w:rsid w:val="007314A8"/>
    <w:rsid w:val="00743E46"/>
    <w:rsid w:val="00743E5C"/>
    <w:rsid w:val="00746B48"/>
    <w:rsid w:val="00747F04"/>
    <w:rsid w:val="00753A37"/>
    <w:rsid w:val="00755202"/>
    <w:rsid w:val="00765341"/>
    <w:rsid w:val="00767279"/>
    <w:rsid w:val="007717A4"/>
    <w:rsid w:val="00771A4F"/>
    <w:rsid w:val="00780E51"/>
    <w:rsid w:val="007816ED"/>
    <w:rsid w:val="00782A5E"/>
    <w:rsid w:val="00792519"/>
    <w:rsid w:val="00792C68"/>
    <w:rsid w:val="00797082"/>
    <w:rsid w:val="007A492D"/>
    <w:rsid w:val="007A5330"/>
    <w:rsid w:val="007A5E5D"/>
    <w:rsid w:val="007B424A"/>
    <w:rsid w:val="007B6999"/>
    <w:rsid w:val="007B6BF6"/>
    <w:rsid w:val="007B77AB"/>
    <w:rsid w:val="007C0806"/>
    <w:rsid w:val="007C67AA"/>
    <w:rsid w:val="007C74A2"/>
    <w:rsid w:val="007D062B"/>
    <w:rsid w:val="007D2240"/>
    <w:rsid w:val="007D377B"/>
    <w:rsid w:val="007E006A"/>
    <w:rsid w:val="007E3686"/>
    <w:rsid w:val="007F167F"/>
    <w:rsid w:val="007F51A1"/>
    <w:rsid w:val="008054BF"/>
    <w:rsid w:val="00807EE9"/>
    <w:rsid w:val="00815759"/>
    <w:rsid w:val="0082507E"/>
    <w:rsid w:val="00825357"/>
    <w:rsid w:val="0082694E"/>
    <w:rsid w:val="00830FDF"/>
    <w:rsid w:val="008413D4"/>
    <w:rsid w:val="00845535"/>
    <w:rsid w:val="008462CA"/>
    <w:rsid w:val="00847F75"/>
    <w:rsid w:val="00853EE9"/>
    <w:rsid w:val="008546EC"/>
    <w:rsid w:val="00855F34"/>
    <w:rsid w:val="008571A1"/>
    <w:rsid w:val="00857A3C"/>
    <w:rsid w:val="0086195F"/>
    <w:rsid w:val="00862A30"/>
    <w:rsid w:val="00865688"/>
    <w:rsid w:val="0086571D"/>
    <w:rsid w:val="00866CE2"/>
    <w:rsid w:val="008734D0"/>
    <w:rsid w:val="00873774"/>
    <w:rsid w:val="00873F6A"/>
    <w:rsid w:val="008816F2"/>
    <w:rsid w:val="008832C0"/>
    <w:rsid w:val="0089032E"/>
    <w:rsid w:val="00897091"/>
    <w:rsid w:val="008A4883"/>
    <w:rsid w:val="008B00E2"/>
    <w:rsid w:val="008B1ED1"/>
    <w:rsid w:val="008B23A5"/>
    <w:rsid w:val="008B457B"/>
    <w:rsid w:val="008B783F"/>
    <w:rsid w:val="008C12D4"/>
    <w:rsid w:val="008C6E32"/>
    <w:rsid w:val="008C76F6"/>
    <w:rsid w:val="008D3386"/>
    <w:rsid w:val="008D373F"/>
    <w:rsid w:val="008D5014"/>
    <w:rsid w:val="008E3037"/>
    <w:rsid w:val="008E37B7"/>
    <w:rsid w:val="008E7C3A"/>
    <w:rsid w:val="008F0253"/>
    <w:rsid w:val="008F7D53"/>
    <w:rsid w:val="00900746"/>
    <w:rsid w:val="0090381B"/>
    <w:rsid w:val="00913031"/>
    <w:rsid w:val="0092129F"/>
    <w:rsid w:val="00943E0A"/>
    <w:rsid w:val="00947EAF"/>
    <w:rsid w:val="00952A8A"/>
    <w:rsid w:val="009533A7"/>
    <w:rsid w:val="0095687F"/>
    <w:rsid w:val="00964CB4"/>
    <w:rsid w:val="00966309"/>
    <w:rsid w:val="00972EB0"/>
    <w:rsid w:val="00973F19"/>
    <w:rsid w:val="009746B0"/>
    <w:rsid w:val="00974FB3"/>
    <w:rsid w:val="009762C4"/>
    <w:rsid w:val="0098173D"/>
    <w:rsid w:val="00990AD0"/>
    <w:rsid w:val="00993252"/>
    <w:rsid w:val="00995F97"/>
    <w:rsid w:val="009A25C6"/>
    <w:rsid w:val="009A2711"/>
    <w:rsid w:val="009A63DB"/>
    <w:rsid w:val="009A6E42"/>
    <w:rsid w:val="009A7CE1"/>
    <w:rsid w:val="009B7081"/>
    <w:rsid w:val="009B7C79"/>
    <w:rsid w:val="009C31CB"/>
    <w:rsid w:val="009D0F0A"/>
    <w:rsid w:val="009D4E07"/>
    <w:rsid w:val="009D4F71"/>
    <w:rsid w:val="009D7044"/>
    <w:rsid w:val="009E2261"/>
    <w:rsid w:val="009F089D"/>
    <w:rsid w:val="009F3AA5"/>
    <w:rsid w:val="009F747E"/>
    <w:rsid w:val="00A0168B"/>
    <w:rsid w:val="00A0760F"/>
    <w:rsid w:val="00A12BDA"/>
    <w:rsid w:val="00A15127"/>
    <w:rsid w:val="00A26552"/>
    <w:rsid w:val="00A35586"/>
    <w:rsid w:val="00A36291"/>
    <w:rsid w:val="00A41695"/>
    <w:rsid w:val="00A4247E"/>
    <w:rsid w:val="00A47BE6"/>
    <w:rsid w:val="00A53A6F"/>
    <w:rsid w:val="00A57D23"/>
    <w:rsid w:val="00A67DDA"/>
    <w:rsid w:val="00A70974"/>
    <w:rsid w:val="00A7423A"/>
    <w:rsid w:val="00A80E1B"/>
    <w:rsid w:val="00A8387A"/>
    <w:rsid w:val="00A85982"/>
    <w:rsid w:val="00A97B01"/>
    <w:rsid w:val="00AA220B"/>
    <w:rsid w:val="00AA62CB"/>
    <w:rsid w:val="00AB1E44"/>
    <w:rsid w:val="00AC05D3"/>
    <w:rsid w:val="00AD2B81"/>
    <w:rsid w:val="00AD3CC8"/>
    <w:rsid w:val="00AD48A5"/>
    <w:rsid w:val="00AD4C35"/>
    <w:rsid w:val="00AE3290"/>
    <w:rsid w:val="00AF60E4"/>
    <w:rsid w:val="00AF6690"/>
    <w:rsid w:val="00B02D37"/>
    <w:rsid w:val="00B33582"/>
    <w:rsid w:val="00B3739F"/>
    <w:rsid w:val="00B44E14"/>
    <w:rsid w:val="00B55B03"/>
    <w:rsid w:val="00B756B7"/>
    <w:rsid w:val="00B825AE"/>
    <w:rsid w:val="00B84475"/>
    <w:rsid w:val="00B856DD"/>
    <w:rsid w:val="00B93F98"/>
    <w:rsid w:val="00B9643C"/>
    <w:rsid w:val="00BA642E"/>
    <w:rsid w:val="00BB04F6"/>
    <w:rsid w:val="00BC162E"/>
    <w:rsid w:val="00BC3CA2"/>
    <w:rsid w:val="00BC48C2"/>
    <w:rsid w:val="00BD0A83"/>
    <w:rsid w:val="00BD323B"/>
    <w:rsid w:val="00BD509C"/>
    <w:rsid w:val="00BD72FB"/>
    <w:rsid w:val="00BD7ED7"/>
    <w:rsid w:val="00BE205A"/>
    <w:rsid w:val="00BE40DE"/>
    <w:rsid w:val="00BE6C38"/>
    <w:rsid w:val="00BE6D45"/>
    <w:rsid w:val="00BF012C"/>
    <w:rsid w:val="00BF0302"/>
    <w:rsid w:val="00BF0CFF"/>
    <w:rsid w:val="00BF3A0D"/>
    <w:rsid w:val="00BF4BE6"/>
    <w:rsid w:val="00C01ABF"/>
    <w:rsid w:val="00C047CA"/>
    <w:rsid w:val="00C07FE0"/>
    <w:rsid w:val="00C152C2"/>
    <w:rsid w:val="00C2582C"/>
    <w:rsid w:val="00C27565"/>
    <w:rsid w:val="00C31162"/>
    <w:rsid w:val="00C3335B"/>
    <w:rsid w:val="00C437AF"/>
    <w:rsid w:val="00C540AA"/>
    <w:rsid w:val="00C5607A"/>
    <w:rsid w:val="00C6677E"/>
    <w:rsid w:val="00C67F87"/>
    <w:rsid w:val="00C72A6E"/>
    <w:rsid w:val="00C73DEA"/>
    <w:rsid w:val="00C75981"/>
    <w:rsid w:val="00C83306"/>
    <w:rsid w:val="00C879B1"/>
    <w:rsid w:val="00C9187F"/>
    <w:rsid w:val="00C95B0D"/>
    <w:rsid w:val="00CA168F"/>
    <w:rsid w:val="00CA1722"/>
    <w:rsid w:val="00CA5774"/>
    <w:rsid w:val="00CC2111"/>
    <w:rsid w:val="00CC4009"/>
    <w:rsid w:val="00CC4472"/>
    <w:rsid w:val="00CC7630"/>
    <w:rsid w:val="00CD0ED0"/>
    <w:rsid w:val="00CE0EC7"/>
    <w:rsid w:val="00CE2DFB"/>
    <w:rsid w:val="00CE3A03"/>
    <w:rsid w:val="00CE47D4"/>
    <w:rsid w:val="00CE4FAA"/>
    <w:rsid w:val="00CF18C2"/>
    <w:rsid w:val="00CF3322"/>
    <w:rsid w:val="00CF637E"/>
    <w:rsid w:val="00CF6825"/>
    <w:rsid w:val="00CF7C1D"/>
    <w:rsid w:val="00D029C7"/>
    <w:rsid w:val="00D06678"/>
    <w:rsid w:val="00D06CD9"/>
    <w:rsid w:val="00D0752D"/>
    <w:rsid w:val="00D105DF"/>
    <w:rsid w:val="00D10CF3"/>
    <w:rsid w:val="00D114C3"/>
    <w:rsid w:val="00D2156B"/>
    <w:rsid w:val="00D2237B"/>
    <w:rsid w:val="00D32E8B"/>
    <w:rsid w:val="00D34A85"/>
    <w:rsid w:val="00D35D8C"/>
    <w:rsid w:val="00D36235"/>
    <w:rsid w:val="00D4019D"/>
    <w:rsid w:val="00D42C7D"/>
    <w:rsid w:val="00D441F9"/>
    <w:rsid w:val="00D45B6B"/>
    <w:rsid w:val="00D463D2"/>
    <w:rsid w:val="00D56B07"/>
    <w:rsid w:val="00D571C7"/>
    <w:rsid w:val="00D60FF7"/>
    <w:rsid w:val="00D6249D"/>
    <w:rsid w:val="00D66843"/>
    <w:rsid w:val="00D7081D"/>
    <w:rsid w:val="00D730A8"/>
    <w:rsid w:val="00D767B0"/>
    <w:rsid w:val="00D76AB0"/>
    <w:rsid w:val="00D84F30"/>
    <w:rsid w:val="00D87F9B"/>
    <w:rsid w:val="00D9189D"/>
    <w:rsid w:val="00D96354"/>
    <w:rsid w:val="00D977C8"/>
    <w:rsid w:val="00DA070C"/>
    <w:rsid w:val="00DA28E0"/>
    <w:rsid w:val="00DA6F19"/>
    <w:rsid w:val="00DB03FE"/>
    <w:rsid w:val="00DB16C5"/>
    <w:rsid w:val="00DB46AD"/>
    <w:rsid w:val="00DC004C"/>
    <w:rsid w:val="00DC3B81"/>
    <w:rsid w:val="00DC4295"/>
    <w:rsid w:val="00DC598A"/>
    <w:rsid w:val="00DC6BA6"/>
    <w:rsid w:val="00DE08BE"/>
    <w:rsid w:val="00DE231E"/>
    <w:rsid w:val="00DE7216"/>
    <w:rsid w:val="00DF00AA"/>
    <w:rsid w:val="00DF034B"/>
    <w:rsid w:val="00DF1008"/>
    <w:rsid w:val="00E00713"/>
    <w:rsid w:val="00E075FE"/>
    <w:rsid w:val="00E129DC"/>
    <w:rsid w:val="00E13464"/>
    <w:rsid w:val="00E22D16"/>
    <w:rsid w:val="00E263B3"/>
    <w:rsid w:val="00E26989"/>
    <w:rsid w:val="00E31180"/>
    <w:rsid w:val="00E33479"/>
    <w:rsid w:val="00E44E65"/>
    <w:rsid w:val="00E50C80"/>
    <w:rsid w:val="00E53653"/>
    <w:rsid w:val="00E61C84"/>
    <w:rsid w:val="00E62E8D"/>
    <w:rsid w:val="00E630B6"/>
    <w:rsid w:val="00E65901"/>
    <w:rsid w:val="00E65A70"/>
    <w:rsid w:val="00E7289F"/>
    <w:rsid w:val="00E82FD7"/>
    <w:rsid w:val="00E833B7"/>
    <w:rsid w:val="00E846D7"/>
    <w:rsid w:val="00E86F73"/>
    <w:rsid w:val="00E9124D"/>
    <w:rsid w:val="00E948C7"/>
    <w:rsid w:val="00E979A6"/>
    <w:rsid w:val="00EA3CE1"/>
    <w:rsid w:val="00EB7908"/>
    <w:rsid w:val="00EC1F93"/>
    <w:rsid w:val="00EC3638"/>
    <w:rsid w:val="00EC51D0"/>
    <w:rsid w:val="00EC6A26"/>
    <w:rsid w:val="00EC6A57"/>
    <w:rsid w:val="00ED1606"/>
    <w:rsid w:val="00ED7317"/>
    <w:rsid w:val="00EE28D3"/>
    <w:rsid w:val="00EE3D3D"/>
    <w:rsid w:val="00EE7536"/>
    <w:rsid w:val="00EF0CFB"/>
    <w:rsid w:val="00EF1F7B"/>
    <w:rsid w:val="00F010A8"/>
    <w:rsid w:val="00F063B5"/>
    <w:rsid w:val="00F07FDF"/>
    <w:rsid w:val="00F10167"/>
    <w:rsid w:val="00F14C89"/>
    <w:rsid w:val="00F152D9"/>
    <w:rsid w:val="00F17864"/>
    <w:rsid w:val="00F20BFD"/>
    <w:rsid w:val="00F22A84"/>
    <w:rsid w:val="00F30B54"/>
    <w:rsid w:val="00F32A4A"/>
    <w:rsid w:val="00F35BA2"/>
    <w:rsid w:val="00F369F3"/>
    <w:rsid w:val="00F36C7B"/>
    <w:rsid w:val="00F41DD6"/>
    <w:rsid w:val="00F4509D"/>
    <w:rsid w:val="00F4528B"/>
    <w:rsid w:val="00F504D2"/>
    <w:rsid w:val="00F60960"/>
    <w:rsid w:val="00F65F38"/>
    <w:rsid w:val="00F7750E"/>
    <w:rsid w:val="00F82DC7"/>
    <w:rsid w:val="00F862B3"/>
    <w:rsid w:val="00F934D2"/>
    <w:rsid w:val="00F93B03"/>
    <w:rsid w:val="00F94177"/>
    <w:rsid w:val="00F942A6"/>
    <w:rsid w:val="00F9691F"/>
    <w:rsid w:val="00FB2402"/>
    <w:rsid w:val="00FB57DB"/>
    <w:rsid w:val="00FC0B9D"/>
    <w:rsid w:val="00FC45EC"/>
    <w:rsid w:val="00FD13E9"/>
    <w:rsid w:val="00FD1F85"/>
    <w:rsid w:val="00FE1B30"/>
    <w:rsid w:val="00FE3EE3"/>
    <w:rsid w:val="00FE5D48"/>
    <w:rsid w:val="00FF188B"/>
    <w:rsid w:val="00FF2B3B"/>
    <w:rsid w:val="00FF3AC3"/>
  </w:rsids>
  <m:mathPr>
    <m:mathFont m:val="Cambria Math"/>
    <m:brkBin m:val="before"/>
    <m:brkBinSub m:val="--"/>
    <m:smallFrac m:val="0"/>
    <m:dispDef/>
    <m:lMargin m:val="0"/>
    <m:rMargin m:val="0"/>
    <m:defJc m:val="centerGroup"/>
    <m:wrapIndent m:val="1440"/>
    <m:intLim m:val="subSup"/>
    <m:naryLim m:val="undOvr"/>
  </m:mathPr>
  <w:themeFontLang w:val="de-AT"/>
  <w:clrSchemeMapping w:bg1="light1" w:t1="dark1" w:bg2="light2" w:t2="dark2" w:accent1="accent1" w:accent2="accent2" w:accent3="accent3" w:accent4="accent4" w:accent5="accent5" w:accent6="accent6" w:hyperlink="hyperlink" w:followedHyperlink="followedHyperlink"/>
  <w:shapeDefaults>
    <o:shapedefaults v:ext="edit" spidmax="92161"/>
    <o:shapelayout v:ext="edit">
      <o:idmap v:ext="edit" data="1"/>
    </o:shapelayout>
  </w:shapeDefaults>
  <w:decimalSymbol w:val=","/>
  <w:listSeparator w:val=";"/>
  <w14:docId w14:val="5435374B"/>
  <w15:chartTrackingRefBased/>
  <w15:docId w15:val="{82E36230-7701-4C11-B572-4A10205DAD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de-AT"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lsdException w:name="heading 5" w:semiHidden="1" w:uiPriority="9" w:unhideWhenUsed="1"/>
    <w:lsdException w:name="heading 6" w:semiHidden="1" w:uiPriority="9" w:unhideWhenUsed="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qFormat="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qFormat="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semiHidden="1"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qFormat/>
    <w:rsid w:val="00670161"/>
    <w:pPr>
      <w:spacing w:after="120"/>
      <w:jc w:val="both"/>
    </w:pPr>
    <w:rPr>
      <w:sz w:val="23"/>
    </w:rPr>
  </w:style>
  <w:style w:type="paragraph" w:styleId="berschrift1">
    <w:name w:val="heading 1"/>
    <w:basedOn w:val="Standard"/>
    <w:next w:val="Standard"/>
    <w:link w:val="berschrift1Zchn"/>
    <w:uiPriority w:val="9"/>
    <w:qFormat/>
    <w:rsid w:val="0082507E"/>
    <w:pPr>
      <w:keepNext/>
      <w:keepLines/>
      <w:pageBreakBefore/>
      <w:numPr>
        <w:numId w:val="4"/>
      </w:numPr>
      <w:spacing w:before="480"/>
      <w:jc w:val="left"/>
      <w:outlineLvl w:val="0"/>
    </w:pPr>
    <w:rPr>
      <w:rFonts w:eastAsiaTheme="majorEastAsia" w:cstheme="majorBidi"/>
      <w:b/>
      <w:color w:val="005D89"/>
      <w:sz w:val="36"/>
      <w:szCs w:val="32"/>
    </w:rPr>
  </w:style>
  <w:style w:type="paragraph" w:styleId="berschrift2">
    <w:name w:val="heading 2"/>
    <w:basedOn w:val="Standard"/>
    <w:next w:val="Standard"/>
    <w:link w:val="berschrift2Zchn"/>
    <w:uiPriority w:val="9"/>
    <w:qFormat/>
    <w:rsid w:val="00441768"/>
    <w:pPr>
      <w:keepNext/>
      <w:keepLines/>
      <w:numPr>
        <w:ilvl w:val="1"/>
        <w:numId w:val="4"/>
      </w:numPr>
      <w:spacing w:before="480"/>
      <w:jc w:val="left"/>
      <w:outlineLvl w:val="1"/>
    </w:pPr>
    <w:rPr>
      <w:rFonts w:eastAsiaTheme="majorEastAsia" w:cstheme="majorBidi"/>
      <w:b/>
      <w:color w:val="005D89"/>
      <w:sz w:val="32"/>
      <w:szCs w:val="26"/>
    </w:rPr>
  </w:style>
  <w:style w:type="paragraph" w:styleId="berschrift3">
    <w:name w:val="heading 3"/>
    <w:basedOn w:val="Standard"/>
    <w:next w:val="Standard"/>
    <w:link w:val="berschrift3Zchn"/>
    <w:uiPriority w:val="9"/>
    <w:qFormat/>
    <w:rsid w:val="00441768"/>
    <w:pPr>
      <w:keepNext/>
      <w:keepLines/>
      <w:numPr>
        <w:ilvl w:val="2"/>
        <w:numId w:val="4"/>
      </w:numPr>
      <w:spacing w:before="480"/>
      <w:jc w:val="left"/>
      <w:outlineLvl w:val="2"/>
    </w:pPr>
    <w:rPr>
      <w:rFonts w:eastAsiaTheme="majorEastAsia" w:cstheme="majorBidi"/>
      <w:b/>
      <w:color w:val="005D89"/>
      <w:sz w:val="26"/>
    </w:rPr>
  </w:style>
  <w:style w:type="paragraph" w:styleId="berschrift4">
    <w:name w:val="heading 4"/>
    <w:basedOn w:val="Standard"/>
    <w:next w:val="Standard"/>
    <w:link w:val="berschrift4Zchn"/>
    <w:uiPriority w:val="9"/>
    <w:rsid w:val="00441768"/>
    <w:pPr>
      <w:keepNext/>
      <w:keepLines/>
      <w:numPr>
        <w:ilvl w:val="3"/>
        <w:numId w:val="4"/>
      </w:numPr>
      <w:spacing w:before="480"/>
      <w:jc w:val="left"/>
      <w:outlineLvl w:val="3"/>
    </w:pPr>
    <w:rPr>
      <w:rFonts w:eastAsiaTheme="majorEastAsia" w:cs="Times New Roman (Überschriften"/>
      <w:b/>
      <w:iCs/>
      <w:color w:val="005D89"/>
    </w:rPr>
  </w:style>
  <w:style w:type="paragraph" w:styleId="berschrift5">
    <w:name w:val="heading 5"/>
    <w:basedOn w:val="Standard"/>
    <w:next w:val="Standard"/>
    <w:link w:val="berschrift5Zchn"/>
    <w:uiPriority w:val="9"/>
    <w:semiHidden/>
    <w:rsid w:val="00441768"/>
    <w:pPr>
      <w:keepNext/>
      <w:keepLines/>
      <w:numPr>
        <w:ilvl w:val="4"/>
        <w:numId w:val="4"/>
      </w:numPr>
      <w:spacing w:before="480"/>
      <w:jc w:val="left"/>
      <w:outlineLvl w:val="4"/>
    </w:pPr>
    <w:rPr>
      <w:rFonts w:eastAsiaTheme="majorEastAsia" w:cstheme="majorBidi"/>
      <w:color w:val="005D89"/>
    </w:rPr>
  </w:style>
  <w:style w:type="paragraph" w:styleId="berschrift6">
    <w:name w:val="heading 6"/>
    <w:basedOn w:val="Standard"/>
    <w:next w:val="Standard"/>
    <w:link w:val="berschrift6Zchn"/>
    <w:uiPriority w:val="9"/>
    <w:semiHidden/>
    <w:rsid w:val="00441768"/>
    <w:pPr>
      <w:keepNext/>
      <w:keepLines/>
      <w:numPr>
        <w:ilvl w:val="5"/>
        <w:numId w:val="4"/>
      </w:numPr>
      <w:spacing w:before="480"/>
      <w:jc w:val="left"/>
      <w:outlineLvl w:val="5"/>
    </w:pPr>
    <w:rPr>
      <w:rFonts w:eastAsiaTheme="majorEastAsia" w:cs="Times New Roman (Überschriften"/>
      <w:color w:val="000000" w:themeColor="text1"/>
    </w:rPr>
  </w:style>
  <w:style w:type="paragraph" w:styleId="berschrift7">
    <w:name w:val="heading 7"/>
    <w:basedOn w:val="Standard"/>
    <w:next w:val="Standard"/>
    <w:link w:val="berschrift7Zchn"/>
    <w:uiPriority w:val="9"/>
    <w:semiHidden/>
    <w:qFormat/>
    <w:rsid w:val="00441768"/>
    <w:pPr>
      <w:keepNext/>
      <w:keepLines/>
      <w:numPr>
        <w:ilvl w:val="6"/>
        <w:numId w:val="4"/>
      </w:numPr>
      <w:spacing w:before="480"/>
      <w:jc w:val="left"/>
      <w:outlineLvl w:val="6"/>
    </w:pPr>
    <w:rPr>
      <w:rFonts w:eastAsiaTheme="majorEastAsia" w:cstheme="majorBidi"/>
      <w:iCs/>
      <w:color w:val="000000" w:themeColor="text1"/>
    </w:rPr>
  </w:style>
  <w:style w:type="paragraph" w:styleId="berschrift8">
    <w:name w:val="heading 8"/>
    <w:basedOn w:val="Standard"/>
    <w:next w:val="Standard"/>
    <w:link w:val="berschrift8Zchn"/>
    <w:uiPriority w:val="9"/>
    <w:semiHidden/>
    <w:qFormat/>
    <w:rsid w:val="00441768"/>
    <w:pPr>
      <w:keepNext/>
      <w:keepLines/>
      <w:numPr>
        <w:ilvl w:val="7"/>
        <w:numId w:val="4"/>
      </w:numPr>
      <w:spacing w:before="40" w:after="0"/>
      <w:outlineLvl w:val="7"/>
    </w:pPr>
    <w:rPr>
      <w:rFonts w:eastAsiaTheme="majorEastAsia" w:cstheme="majorBidi"/>
      <w:color w:val="272727" w:themeColor="text1" w:themeTint="D8"/>
      <w:sz w:val="21"/>
      <w:szCs w:val="21"/>
    </w:rPr>
  </w:style>
  <w:style w:type="paragraph" w:styleId="berschrift9">
    <w:name w:val="heading 9"/>
    <w:basedOn w:val="Standard"/>
    <w:next w:val="Standard"/>
    <w:link w:val="berschrift9Zchn"/>
    <w:uiPriority w:val="9"/>
    <w:semiHidden/>
    <w:qFormat/>
    <w:rsid w:val="00441768"/>
    <w:pPr>
      <w:keepNext/>
      <w:keepLines/>
      <w:numPr>
        <w:ilvl w:val="8"/>
        <w:numId w:val="4"/>
      </w:numPr>
      <w:spacing w:before="40" w:after="0"/>
      <w:outlineLvl w:val="8"/>
    </w:pPr>
    <w:rPr>
      <w:rFonts w:eastAsiaTheme="majorEastAsia" w:cstheme="majorBidi"/>
      <w:iCs/>
      <w:color w:val="272727" w:themeColor="text1" w:themeTint="D8"/>
      <w:sz w:val="21"/>
      <w:szCs w:val="21"/>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Listenabsatz">
    <w:name w:val="List Paragraph"/>
    <w:basedOn w:val="Standard"/>
    <w:uiPriority w:val="34"/>
    <w:rsid w:val="004B1601"/>
    <w:pPr>
      <w:numPr>
        <w:numId w:val="2"/>
      </w:numPr>
    </w:pPr>
  </w:style>
  <w:style w:type="character" w:customStyle="1" w:styleId="berschrift4Zchn">
    <w:name w:val="Überschrift 4 Zchn"/>
    <w:basedOn w:val="Absatz-Standardschriftart"/>
    <w:link w:val="berschrift4"/>
    <w:uiPriority w:val="9"/>
    <w:rsid w:val="00326AEB"/>
    <w:rPr>
      <w:rFonts w:eastAsiaTheme="majorEastAsia" w:cs="Times New Roman (Überschriften"/>
      <w:b/>
      <w:iCs/>
      <w:color w:val="005D89"/>
      <w:sz w:val="23"/>
    </w:rPr>
  </w:style>
  <w:style w:type="character" w:styleId="Platzhaltertext">
    <w:name w:val="Placeholder Text"/>
    <w:basedOn w:val="Absatz-Standardschriftart"/>
    <w:uiPriority w:val="99"/>
    <w:semiHidden/>
    <w:rsid w:val="00203CED"/>
    <w:rPr>
      <w:color w:val="808080"/>
    </w:rPr>
  </w:style>
  <w:style w:type="character" w:styleId="Hervorhebung">
    <w:name w:val="Emphasis"/>
    <w:aliases w:val="Hervorhebung_orange"/>
    <w:basedOn w:val="Absatz-Standardschriftart"/>
    <w:uiPriority w:val="20"/>
    <w:qFormat/>
    <w:rsid w:val="009B7C79"/>
    <w:rPr>
      <w:rFonts w:asciiTheme="majorHAnsi" w:hAnsiTheme="majorHAnsi"/>
      <w:b/>
      <w:i w:val="0"/>
      <w:iCs/>
      <w:color w:val="EC6608"/>
    </w:rPr>
  </w:style>
  <w:style w:type="paragraph" w:styleId="Untertitel">
    <w:name w:val="Subtitle"/>
    <w:basedOn w:val="Standard"/>
    <w:link w:val="UntertitelZchn"/>
    <w:uiPriority w:val="11"/>
    <w:semiHidden/>
    <w:rsid w:val="00583573"/>
    <w:pPr>
      <w:numPr>
        <w:ilvl w:val="1"/>
      </w:numPr>
      <w:spacing w:before="120" w:after="480"/>
      <w:contextualSpacing/>
      <w:jc w:val="right"/>
    </w:pPr>
    <w:rPr>
      <w:rFonts w:eastAsiaTheme="minorEastAsia"/>
      <w:color w:val="FFFFFF" w:themeColor="background1"/>
      <w:sz w:val="60"/>
      <w:szCs w:val="22"/>
    </w:rPr>
  </w:style>
  <w:style w:type="paragraph" w:styleId="Kopfzeile">
    <w:name w:val="header"/>
    <w:basedOn w:val="Standard"/>
    <w:link w:val="KopfzeileZchn"/>
    <w:uiPriority w:val="99"/>
    <w:semiHidden/>
    <w:rsid w:val="009B7C79"/>
    <w:pPr>
      <w:tabs>
        <w:tab w:val="center" w:pos="4536"/>
        <w:tab w:val="right" w:pos="9072"/>
      </w:tabs>
      <w:spacing w:after="0"/>
    </w:pPr>
  </w:style>
  <w:style w:type="character" w:customStyle="1" w:styleId="KopfzeileZchn">
    <w:name w:val="Kopfzeile Zchn"/>
    <w:basedOn w:val="Absatz-Standardschriftart"/>
    <w:link w:val="Kopfzeile"/>
    <w:uiPriority w:val="99"/>
    <w:semiHidden/>
    <w:rsid w:val="000D3D3C"/>
    <w:rPr>
      <w:sz w:val="23"/>
    </w:rPr>
  </w:style>
  <w:style w:type="paragraph" w:styleId="Fuzeile">
    <w:name w:val="footer"/>
    <w:basedOn w:val="Standard"/>
    <w:link w:val="FuzeileZchn"/>
    <w:uiPriority w:val="99"/>
    <w:semiHidden/>
    <w:qFormat/>
    <w:rsid w:val="002B2E81"/>
    <w:pPr>
      <w:spacing w:after="0"/>
    </w:pPr>
    <w:rPr>
      <w:color w:val="000000" w:themeColor="text1"/>
      <w:sz w:val="15"/>
    </w:rPr>
  </w:style>
  <w:style w:type="character" w:customStyle="1" w:styleId="FuzeileZchn">
    <w:name w:val="Fußzeile Zchn"/>
    <w:basedOn w:val="Absatz-Standardschriftart"/>
    <w:link w:val="Fuzeile"/>
    <w:uiPriority w:val="99"/>
    <w:semiHidden/>
    <w:rsid w:val="000D3D3C"/>
    <w:rPr>
      <w:color w:val="000000" w:themeColor="text1"/>
      <w:sz w:val="15"/>
    </w:rPr>
  </w:style>
  <w:style w:type="paragraph" w:styleId="Anrede">
    <w:name w:val="Salutation"/>
    <w:basedOn w:val="Standard"/>
    <w:next w:val="Standard"/>
    <w:link w:val="AnredeZchn"/>
    <w:uiPriority w:val="99"/>
    <w:semiHidden/>
    <w:rsid w:val="00873774"/>
    <w:pPr>
      <w:spacing w:before="240" w:after="240"/>
    </w:pPr>
  </w:style>
  <w:style w:type="character" w:customStyle="1" w:styleId="AnredeZchn">
    <w:name w:val="Anrede Zchn"/>
    <w:basedOn w:val="Absatz-Standardschriftart"/>
    <w:link w:val="Anrede"/>
    <w:uiPriority w:val="99"/>
    <w:semiHidden/>
    <w:rsid w:val="00326AEB"/>
    <w:rPr>
      <w:rFonts w:asciiTheme="majorHAnsi" w:hAnsiTheme="majorHAnsi"/>
      <w:sz w:val="23"/>
    </w:rPr>
  </w:style>
  <w:style w:type="character" w:customStyle="1" w:styleId="Hervorhebungblau">
    <w:name w:val="Hervorhebung_blau"/>
    <w:basedOn w:val="Hervorhebung"/>
    <w:uiPriority w:val="1"/>
    <w:qFormat/>
    <w:rsid w:val="009A63DB"/>
    <w:rPr>
      <w:rFonts w:asciiTheme="majorHAnsi" w:hAnsiTheme="majorHAnsi"/>
      <w:b/>
      <w:i w:val="0"/>
      <w:iCs/>
      <w:color w:val="005D89"/>
    </w:rPr>
  </w:style>
  <w:style w:type="paragraph" w:customStyle="1" w:styleId="Quelle">
    <w:name w:val="Quelle"/>
    <w:basedOn w:val="Standard"/>
    <w:next w:val="Standard"/>
    <w:qFormat/>
    <w:rsid w:val="0065417F"/>
    <w:pPr>
      <w:spacing w:before="120" w:after="240"/>
      <w:contextualSpacing/>
    </w:pPr>
    <w:rPr>
      <w:color w:val="000000" w:themeColor="text1"/>
      <w:sz w:val="16"/>
      <w:szCs w:val="16"/>
    </w:rPr>
  </w:style>
  <w:style w:type="paragraph" w:styleId="Beschriftung">
    <w:name w:val="caption"/>
    <w:basedOn w:val="Standard"/>
    <w:next w:val="Standard"/>
    <w:uiPriority w:val="35"/>
    <w:unhideWhenUsed/>
    <w:qFormat/>
    <w:rsid w:val="009F089D"/>
    <w:pPr>
      <w:tabs>
        <w:tab w:val="left" w:pos="936"/>
      </w:tabs>
      <w:spacing w:before="240"/>
      <w:ind w:left="936" w:hanging="936"/>
      <w:contextualSpacing/>
      <w:jc w:val="left"/>
    </w:pPr>
    <w:rPr>
      <w:iCs/>
      <w:color w:val="005D89"/>
      <w:szCs w:val="18"/>
    </w:rPr>
  </w:style>
  <w:style w:type="paragraph" w:styleId="Unterschrift">
    <w:name w:val="Signature"/>
    <w:basedOn w:val="Standard"/>
    <w:next w:val="Standard"/>
    <w:link w:val="UnterschriftZchn"/>
    <w:uiPriority w:val="99"/>
    <w:semiHidden/>
    <w:qFormat/>
    <w:rsid w:val="009A63DB"/>
    <w:pPr>
      <w:spacing w:before="1080" w:after="0"/>
      <w:jc w:val="left"/>
    </w:pPr>
  </w:style>
  <w:style w:type="character" w:customStyle="1" w:styleId="UnterschriftZchn">
    <w:name w:val="Unterschrift Zchn"/>
    <w:basedOn w:val="Absatz-Standardschriftart"/>
    <w:link w:val="Unterschrift"/>
    <w:uiPriority w:val="99"/>
    <w:semiHidden/>
    <w:rsid w:val="000D3D3C"/>
    <w:rPr>
      <w:sz w:val="23"/>
    </w:rPr>
  </w:style>
  <w:style w:type="character" w:styleId="Hyperlink">
    <w:name w:val="Hyperlink"/>
    <w:basedOn w:val="Absatz-Standardschriftart"/>
    <w:uiPriority w:val="99"/>
    <w:rsid w:val="00F93B03"/>
    <w:rPr>
      <w:rFonts w:asciiTheme="minorHAnsi" w:hAnsiTheme="minorHAnsi"/>
      <w:b w:val="0"/>
      <w:i w:val="0"/>
      <w:color w:val="005D89"/>
      <w:sz w:val="23"/>
      <w:u w:val="single"/>
    </w:rPr>
  </w:style>
  <w:style w:type="paragraph" w:styleId="Abbildungsverzeichnis">
    <w:name w:val="table of figures"/>
    <w:basedOn w:val="Standard"/>
    <w:next w:val="Standard"/>
    <w:uiPriority w:val="99"/>
    <w:rsid w:val="00753A37"/>
    <w:pPr>
      <w:tabs>
        <w:tab w:val="left" w:pos="851"/>
        <w:tab w:val="right" w:leader="dot" w:pos="9571"/>
      </w:tabs>
      <w:spacing w:after="0"/>
      <w:ind w:left="851" w:hanging="851"/>
      <w:jc w:val="left"/>
    </w:pPr>
    <w:rPr>
      <w:rFonts w:cs="Calibri (Textkörper)"/>
      <w:sz w:val="20"/>
      <w:szCs w:val="20"/>
    </w:rPr>
  </w:style>
  <w:style w:type="character" w:customStyle="1" w:styleId="berschrift5Zchn">
    <w:name w:val="Überschrift 5 Zchn"/>
    <w:basedOn w:val="Absatz-Standardschriftart"/>
    <w:link w:val="berschrift5"/>
    <w:uiPriority w:val="9"/>
    <w:semiHidden/>
    <w:rsid w:val="002E03FA"/>
    <w:rPr>
      <w:rFonts w:eastAsiaTheme="majorEastAsia" w:cstheme="majorBidi"/>
      <w:color w:val="005D89"/>
      <w:sz w:val="23"/>
    </w:rPr>
  </w:style>
  <w:style w:type="table" w:customStyle="1" w:styleId="KMFATabelleV2">
    <w:name w:val="KMFA_Tabelle_V2"/>
    <w:basedOn w:val="NormaleTabelle"/>
    <w:uiPriority w:val="99"/>
    <w:rsid w:val="00176170"/>
    <w:pPr>
      <w:contextualSpacing/>
      <w:jc w:val="right"/>
    </w:pPr>
    <w:rPr>
      <w:rFonts w:cs="Times New Roman (Textkörper CS)"/>
      <w:sz w:val="22"/>
    </w:rPr>
    <w:tblPr>
      <w:tblStyleRowBandSize w:val="1"/>
      <w:tblStyleColBandSize w:val="1"/>
    </w:tblPr>
    <w:trPr>
      <w:cantSplit/>
    </w:trPr>
    <w:tcPr>
      <w:shd w:val="clear" w:color="auto" w:fill="auto"/>
      <w:tcMar>
        <w:top w:w="28" w:type="dxa"/>
        <w:left w:w="85" w:type="dxa"/>
        <w:bottom w:w="28" w:type="dxa"/>
        <w:right w:w="85" w:type="dxa"/>
      </w:tcMar>
      <w:vAlign w:val="center"/>
    </w:tcPr>
    <w:tblStylePr w:type="firstRow">
      <w:pPr>
        <w:jc w:val="left"/>
      </w:pPr>
      <w:rPr>
        <w:rFonts w:asciiTheme="majorHAnsi" w:hAnsiTheme="majorHAnsi"/>
        <w:b/>
        <w:i w:val="0"/>
        <w:color w:val="FFFFFF" w:themeColor="background1"/>
        <w:sz w:val="22"/>
        <w:u w:val="none"/>
      </w:rPr>
      <w:tblPr/>
      <w:tcPr>
        <w:shd w:val="clear" w:color="auto" w:fill="005D89"/>
      </w:tcPr>
    </w:tblStylePr>
    <w:tblStylePr w:type="lastRow">
      <w:pPr>
        <w:jc w:val="left"/>
      </w:pPr>
      <w:rPr>
        <w:rFonts w:asciiTheme="majorHAnsi" w:hAnsiTheme="majorHAnsi"/>
        <w:b/>
        <w:sz w:val="22"/>
      </w:rPr>
      <w:tblPr/>
      <w:tcPr>
        <w:shd w:val="clear" w:color="auto" w:fill="D7CFBC"/>
      </w:tcPr>
    </w:tblStylePr>
    <w:tblStylePr w:type="firstCol">
      <w:rPr>
        <w:rFonts w:asciiTheme="majorHAnsi" w:hAnsiTheme="majorHAnsi"/>
        <w:b/>
        <w:sz w:val="22"/>
      </w:rPr>
    </w:tblStylePr>
    <w:tblStylePr w:type="lastCol">
      <w:rPr>
        <w:rFonts w:asciiTheme="majorHAnsi" w:hAnsiTheme="majorHAnsi"/>
        <w:b/>
        <w:sz w:val="22"/>
      </w:rPr>
    </w:tblStylePr>
    <w:tblStylePr w:type="band1Vert">
      <w:tblPr/>
      <w:tcPr>
        <w:shd w:val="clear" w:color="auto" w:fill="EEF3F4"/>
      </w:tcPr>
    </w:tblStylePr>
    <w:tblStylePr w:type="band1Horz">
      <w:tblPr/>
      <w:tcPr>
        <w:shd w:val="clear" w:color="auto" w:fill="EEF3F4"/>
      </w:tcPr>
    </w:tblStylePr>
  </w:style>
  <w:style w:type="table" w:customStyle="1" w:styleId="KMFATabelle">
    <w:name w:val="KMFA_Tabelle"/>
    <w:basedOn w:val="KMFATabelleV2"/>
    <w:uiPriority w:val="99"/>
    <w:rsid w:val="00943E0A"/>
    <w:tblPr>
      <w:tblBorders>
        <w:insideH w:val="single" w:sz="24" w:space="0" w:color="FFFFFF" w:themeColor="background1"/>
      </w:tblBorders>
    </w:tblPr>
    <w:tcPr>
      <w:shd w:val="clear" w:color="auto" w:fill="auto"/>
    </w:tcPr>
    <w:tblStylePr w:type="firstRow">
      <w:pPr>
        <w:jc w:val="left"/>
      </w:pPr>
      <w:rPr>
        <w:rFonts w:asciiTheme="majorHAnsi" w:hAnsiTheme="majorHAnsi"/>
        <w:b/>
        <w:i w:val="0"/>
        <w:color w:val="FFFFFF" w:themeColor="background1"/>
        <w:sz w:val="22"/>
        <w:u w:val="none"/>
      </w:rPr>
      <w:tblPr/>
      <w:tcPr>
        <w:shd w:val="clear" w:color="auto" w:fill="005D89"/>
      </w:tcPr>
    </w:tblStylePr>
    <w:tblStylePr w:type="lastRow">
      <w:pPr>
        <w:jc w:val="left"/>
      </w:pPr>
      <w:rPr>
        <w:rFonts w:asciiTheme="majorHAnsi" w:hAnsiTheme="majorHAnsi"/>
        <w:b/>
        <w:sz w:val="22"/>
      </w:rPr>
      <w:tblPr/>
      <w:tcPr>
        <w:shd w:val="clear" w:color="auto" w:fill="D7CFBC"/>
      </w:tcPr>
    </w:tblStylePr>
    <w:tblStylePr w:type="firstCol">
      <w:rPr>
        <w:rFonts w:asciiTheme="majorHAnsi" w:hAnsiTheme="majorHAnsi"/>
        <w:b/>
        <w:sz w:val="22"/>
      </w:rPr>
    </w:tblStylePr>
    <w:tblStylePr w:type="lastCol">
      <w:rPr>
        <w:rFonts w:asciiTheme="majorHAnsi" w:hAnsiTheme="majorHAnsi"/>
        <w:b/>
        <w:sz w:val="22"/>
      </w:rPr>
    </w:tblStylePr>
    <w:tblStylePr w:type="band1Vert">
      <w:tblPr/>
      <w:tcPr>
        <w:shd w:val="clear" w:color="auto" w:fill="EEF3F4"/>
      </w:tcPr>
    </w:tblStylePr>
    <w:tblStylePr w:type="band1Horz">
      <w:tblPr/>
      <w:tcPr>
        <w:shd w:val="clear" w:color="auto" w:fill="EEF3F4"/>
      </w:tcPr>
    </w:tblStylePr>
    <w:tblStylePr w:type="band2Horz">
      <w:tblPr/>
      <w:tcPr>
        <w:shd w:val="clear" w:color="auto" w:fill="EEF3F4"/>
      </w:tcPr>
    </w:tblStylePr>
  </w:style>
  <w:style w:type="table" w:styleId="Tabellenraster">
    <w:name w:val="Table Grid"/>
    <w:basedOn w:val="NormaleTabelle"/>
    <w:uiPriority w:val="39"/>
    <w:rsid w:val="00D029C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unotentext">
    <w:name w:val="footnote text"/>
    <w:basedOn w:val="Standard"/>
    <w:link w:val="FunotentextZchn"/>
    <w:uiPriority w:val="99"/>
    <w:qFormat/>
    <w:rsid w:val="00A85982"/>
    <w:pPr>
      <w:ind w:left="170" w:hanging="170"/>
    </w:pPr>
    <w:rPr>
      <w:rFonts w:cs="Calibri Light (Überschriften)"/>
      <w:sz w:val="15"/>
      <w:szCs w:val="20"/>
    </w:rPr>
  </w:style>
  <w:style w:type="character" w:customStyle="1" w:styleId="FunotentextZchn">
    <w:name w:val="Fußnotentext Zchn"/>
    <w:basedOn w:val="Absatz-Standardschriftart"/>
    <w:link w:val="Funotentext"/>
    <w:uiPriority w:val="99"/>
    <w:rsid w:val="000D3D3C"/>
    <w:rPr>
      <w:rFonts w:cs="Calibri Light (Überschriften)"/>
      <w:sz w:val="15"/>
      <w:szCs w:val="20"/>
    </w:rPr>
  </w:style>
  <w:style w:type="character" w:styleId="Funotenzeichen">
    <w:name w:val="footnote reference"/>
    <w:basedOn w:val="Absatz-Standardschriftart"/>
    <w:uiPriority w:val="99"/>
    <w:rsid w:val="0037262C"/>
    <w:rPr>
      <w:rFonts w:asciiTheme="majorHAnsi" w:hAnsiTheme="majorHAnsi"/>
      <w:color w:val="005D89"/>
      <w:vertAlign w:val="superscript"/>
    </w:rPr>
  </w:style>
  <w:style w:type="character" w:customStyle="1" w:styleId="UntertitelZchn">
    <w:name w:val="Untertitel Zchn"/>
    <w:basedOn w:val="Absatz-Standardschriftart"/>
    <w:link w:val="Untertitel"/>
    <w:uiPriority w:val="11"/>
    <w:semiHidden/>
    <w:rsid w:val="000D3D3C"/>
    <w:rPr>
      <w:rFonts w:eastAsiaTheme="minorEastAsia"/>
      <w:color w:val="FFFFFF" w:themeColor="background1"/>
      <w:sz w:val="60"/>
      <w:szCs w:val="22"/>
    </w:rPr>
  </w:style>
  <w:style w:type="numbering" w:customStyle="1" w:styleId="KMFAAufzhlungszeichenmehrereEbenen">
    <w:name w:val="KMFA_Aufzählungszeichen_mehrere_Ebenen"/>
    <w:uiPriority w:val="99"/>
    <w:rsid w:val="008571A1"/>
    <w:pPr>
      <w:numPr>
        <w:numId w:val="1"/>
      </w:numPr>
    </w:pPr>
  </w:style>
  <w:style w:type="numbering" w:customStyle="1" w:styleId="KMFAListemehrereEbenen">
    <w:name w:val="KMFA_Liste_mehrere_Ebenen"/>
    <w:uiPriority w:val="99"/>
    <w:rsid w:val="007D377B"/>
    <w:pPr>
      <w:numPr>
        <w:numId w:val="3"/>
      </w:numPr>
    </w:pPr>
  </w:style>
  <w:style w:type="paragraph" w:styleId="Titel">
    <w:name w:val="Title"/>
    <w:basedOn w:val="Standard"/>
    <w:next w:val="Standard"/>
    <w:link w:val="TitelZchn"/>
    <w:uiPriority w:val="10"/>
    <w:semiHidden/>
    <w:qFormat/>
    <w:rsid w:val="00583573"/>
    <w:pPr>
      <w:spacing w:after="360"/>
      <w:contextualSpacing/>
      <w:jc w:val="left"/>
    </w:pPr>
    <w:rPr>
      <w:rFonts w:eastAsiaTheme="majorEastAsia" w:cstheme="majorBidi"/>
      <w:color w:val="005D89"/>
      <w:spacing w:val="-10"/>
      <w:kern w:val="28"/>
      <w:sz w:val="48"/>
      <w:szCs w:val="56"/>
    </w:rPr>
  </w:style>
  <w:style w:type="character" w:customStyle="1" w:styleId="TitelZchn">
    <w:name w:val="Titel Zchn"/>
    <w:basedOn w:val="Absatz-Standardschriftart"/>
    <w:link w:val="Titel"/>
    <w:uiPriority w:val="10"/>
    <w:semiHidden/>
    <w:rsid w:val="000D3D3C"/>
    <w:rPr>
      <w:rFonts w:eastAsiaTheme="majorEastAsia" w:cstheme="majorBidi"/>
      <w:color w:val="005D89"/>
      <w:spacing w:val="-10"/>
      <w:kern w:val="28"/>
      <w:sz w:val="48"/>
      <w:szCs w:val="56"/>
    </w:rPr>
  </w:style>
  <w:style w:type="character" w:customStyle="1" w:styleId="berschrift1Zchn">
    <w:name w:val="Überschrift 1 Zchn"/>
    <w:basedOn w:val="Absatz-Standardschriftart"/>
    <w:link w:val="berschrift1"/>
    <w:uiPriority w:val="9"/>
    <w:rsid w:val="0082507E"/>
    <w:rPr>
      <w:rFonts w:eastAsiaTheme="majorEastAsia" w:cstheme="majorBidi"/>
      <w:b/>
      <w:color w:val="005D89"/>
      <w:sz w:val="36"/>
      <w:szCs w:val="32"/>
    </w:rPr>
  </w:style>
  <w:style w:type="character" w:customStyle="1" w:styleId="berschrift2Zchn">
    <w:name w:val="Überschrift 2 Zchn"/>
    <w:basedOn w:val="Absatz-Standardschriftart"/>
    <w:link w:val="berschrift2"/>
    <w:uiPriority w:val="9"/>
    <w:rsid w:val="00326AEB"/>
    <w:rPr>
      <w:rFonts w:eastAsiaTheme="majorEastAsia" w:cstheme="majorBidi"/>
      <w:b/>
      <w:color w:val="005D89"/>
      <w:sz w:val="32"/>
      <w:szCs w:val="26"/>
    </w:rPr>
  </w:style>
  <w:style w:type="character" w:customStyle="1" w:styleId="berschrift3Zchn">
    <w:name w:val="Überschrift 3 Zchn"/>
    <w:basedOn w:val="Absatz-Standardschriftart"/>
    <w:link w:val="berschrift3"/>
    <w:uiPriority w:val="9"/>
    <w:rsid w:val="00326AEB"/>
    <w:rPr>
      <w:rFonts w:eastAsiaTheme="majorEastAsia" w:cstheme="majorBidi"/>
      <w:b/>
      <w:color w:val="005D89"/>
      <w:sz w:val="26"/>
    </w:rPr>
  </w:style>
  <w:style w:type="character" w:customStyle="1" w:styleId="berschrift6Zchn">
    <w:name w:val="Überschrift 6 Zchn"/>
    <w:basedOn w:val="Absatz-Standardschriftart"/>
    <w:link w:val="berschrift6"/>
    <w:uiPriority w:val="9"/>
    <w:semiHidden/>
    <w:rsid w:val="002E03FA"/>
    <w:rPr>
      <w:rFonts w:eastAsiaTheme="majorEastAsia" w:cs="Times New Roman (Überschriften"/>
      <w:color w:val="000000" w:themeColor="text1"/>
      <w:sz w:val="23"/>
    </w:rPr>
  </w:style>
  <w:style w:type="character" w:customStyle="1" w:styleId="berschrift7Zchn">
    <w:name w:val="Überschrift 7 Zchn"/>
    <w:basedOn w:val="Absatz-Standardschriftart"/>
    <w:link w:val="berschrift7"/>
    <w:uiPriority w:val="9"/>
    <w:semiHidden/>
    <w:rsid w:val="00326AEB"/>
    <w:rPr>
      <w:rFonts w:eastAsiaTheme="majorEastAsia" w:cstheme="majorBidi"/>
      <w:iCs/>
      <w:color w:val="000000" w:themeColor="text1"/>
      <w:sz w:val="23"/>
    </w:rPr>
  </w:style>
  <w:style w:type="character" w:customStyle="1" w:styleId="berschrift8Zchn">
    <w:name w:val="Überschrift 8 Zchn"/>
    <w:basedOn w:val="Absatz-Standardschriftart"/>
    <w:link w:val="berschrift8"/>
    <w:uiPriority w:val="9"/>
    <w:semiHidden/>
    <w:rsid w:val="00326AEB"/>
    <w:rPr>
      <w:rFonts w:eastAsiaTheme="majorEastAsia" w:cstheme="majorBidi"/>
      <w:color w:val="272727" w:themeColor="text1" w:themeTint="D8"/>
      <w:sz w:val="21"/>
      <w:szCs w:val="21"/>
    </w:rPr>
  </w:style>
  <w:style w:type="character" w:customStyle="1" w:styleId="berschrift9Zchn">
    <w:name w:val="Überschrift 9 Zchn"/>
    <w:basedOn w:val="Absatz-Standardschriftart"/>
    <w:link w:val="berschrift9"/>
    <w:uiPriority w:val="9"/>
    <w:semiHidden/>
    <w:rsid w:val="00326AEB"/>
    <w:rPr>
      <w:rFonts w:eastAsiaTheme="majorEastAsia" w:cstheme="majorBidi"/>
      <w:iCs/>
      <w:color w:val="272727" w:themeColor="text1" w:themeTint="D8"/>
      <w:sz w:val="21"/>
      <w:szCs w:val="21"/>
    </w:rPr>
  </w:style>
  <w:style w:type="numbering" w:customStyle="1" w:styleId="KMFAListeberschriften">
    <w:name w:val="KMFA_Liste_Überschriften"/>
    <w:uiPriority w:val="99"/>
    <w:rsid w:val="00C27565"/>
    <w:pPr>
      <w:numPr>
        <w:numId w:val="5"/>
      </w:numPr>
    </w:pPr>
  </w:style>
  <w:style w:type="numbering" w:customStyle="1" w:styleId="AktuelleListe1">
    <w:name w:val="Aktuelle Liste1"/>
    <w:uiPriority w:val="99"/>
    <w:rsid w:val="00755202"/>
    <w:pPr>
      <w:numPr>
        <w:numId w:val="6"/>
      </w:numPr>
    </w:pPr>
  </w:style>
  <w:style w:type="paragraph" w:styleId="Verzeichnis2">
    <w:name w:val="toc 2"/>
    <w:basedOn w:val="Standard"/>
    <w:next w:val="Standard"/>
    <w:autoRedefine/>
    <w:uiPriority w:val="39"/>
    <w:unhideWhenUsed/>
    <w:rsid w:val="00753A37"/>
    <w:pPr>
      <w:tabs>
        <w:tab w:val="right" w:leader="dot" w:pos="9571"/>
      </w:tabs>
      <w:spacing w:after="100"/>
      <w:ind w:left="232"/>
    </w:pPr>
  </w:style>
  <w:style w:type="paragraph" w:styleId="Verzeichnis1">
    <w:name w:val="toc 1"/>
    <w:basedOn w:val="Standard"/>
    <w:next w:val="Standard"/>
    <w:autoRedefine/>
    <w:uiPriority w:val="39"/>
    <w:unhideWhenUsed/>
    <w:rsid w:val="00753A37"/>
    <w:pPr>
      <w:tabs>
        <w:tab w:val="right" w:leader="dot" w:pos="9571"/>
      </w:tabs>
      <w:spacing w:after="100"/>
    </w:pPr>
  </w:style>
  <w:style w:type="paragraph" w:styleId="Verzeichnis3">
    <w:name w:val="toc 3"/>
    <w:basedOn w:val="Standard"/>
    <w:next w:val="Standard"/>
    <w:autoRedefine/>
    <w:uiPriority w:val="39"/>
    <w:unhideWhenUsed/>
    <w:rsid w:val="002431DA"/>
    <w:pPr>
      <w:spacing w:after="100"/>
      <w:ind w:left="460"/>
    </w:pPr>
  </w:style>
  <w:style w:type="paragraph" w:styleId="Inhaltsverzeichnisberschrift">
    <w:name w:val="TOC Heading"/>
    <w:basedOn w:val="berschrift1"/>
    <w:next w:val="Standard"/>
    <w:uiPriority w:val="39"/>
    <w:semiHidden/>
    <w:unhideWhenUsed/>
    <w:qFormat/>
    <w:rsid w:val="0082507E"/>
    <w:pPr>
      <w:numPr>
        <w:numId w:val="0"/>
      </w:numPr>
      <w:spacing w:before="240" w:after="480"/>
      <w:jc w:val="both"/>
      <w:outlineLvl w:val="9"/>
    </w:pPr>
    <w:rPr>
      <w:b w:val="0"/>
      <w:color w:val="004566" w:themeColor="accent1" w:themeShade="BF"/>
      <w:sz w:val="32"/>
    </w:rPr>
  </w:style>
  <w:style w:type="paragraph" w:customStyle="1" w:styleId="TitelDeckblatt">
    <w:name w:val="Titel_Deckblatt"/>
    <w:basedOn w:val="Standard"/>
    <w:semiHidden/>
    <w:rsid w:val="00C540AA"/>
    <w:pPr>
      <w:spacing w:before="4800" w:line="1080" w:lineRule="exact"/>
      <w:contextualSpacing/>
      <w:jc w:val="right"/>
      <w:textboxTightWrap w:val="allLines"/>
    </w:pPr>
    <w:rPr>
      <w:rFonts w:cs="Calibri (Textkörper)"/>
      <w:color w:val="FFFFFF" w:themeColor="background1"/>
      <w:sz w:val="108"/>
      <w:szCs w:val="96"/>
    </w:rPr>
  </w:style>
  <w:style w:type="paragraph" w:customStyle="1" w:styleId="KMFADeckblattUntertitel">
    <w:name w:val="KMFA_Deckblatt_Untertitel"/>
    <w:basedOn w:val="Standard"/>
    <w:semiHidden/>
    <w:rsid w:val="00EF1F7B"/>
    <w:pPr>
      <w:spacing w:before="120" w:after="480"/>
      <w:contextualSpacing/>
      <w:jc w:val="right"/>
    </w:pPr>
    <w:rPr>
      <w:rFonts w:cstheme="majorHAnsi"/>
      <w:color w:val="FFFFFF" w:themeColor="background1"/>
      <w:sz w:val="60"/>
      <w:szCs w:val="48"/>
    </w:rPr>
  </w:style>
  <w:style w:type="paragraph" w:customStyle="1" w:styleId="DeckblattFusszeile">
    <w:name w:val="Deckblatt_Fusszeile"/>
    <w:basedOn w:val="Fuzeile"/>
    <w:rsid w:val="00EF1F7B"/>
    <w:pPr>
      <w:jc w:val="right"/>
    </w:pPr>
    <w:rPr>
      <w:color w:val="FFFFFF" w:themeColor="background1"/>
      <w:sz w:val="23"/>
      <w:szCs w:val="23"/>
    </w:rPr>
  </w:style>
  <w:style w:type="character" w:customStyle="1" w:styleId="UnresolvedMention">
    <w:name w:val="Unresolved Mention"/>
    <w:basedOn w:val="Absatz-Standardschriftart"/>
    <w:uiPriority w:val="99"/>
    <w:semiHidden/>
    <w:unhideWhenUsed/>
    <w:rsid w:val="009F747E"/>
    <w:rPr>
      <w:color w:val="605E5C"/>
      <w:shd w:val="clear" w:color="auto" w:fill="E1DFDD"/>
    </w:rPr>
  </w:style>
  <w:style w:type="paragraph" w:customStyle="1" w:styleId="InfoboxLINKSorange">
    <w:name w:val="Infobox_LINKS_orange"/>
    <w:basedOn w:val="Standard"/>
    <w:semiHidden/>
    <w:qFormat/>
    <w:rsid w:val="001D3E77"/>
    <w:pPr>
      <w:framePr w:w="1985" w:hSpace="284" w:vSpace="142" w:wrap="notBeside" w:vAnchor="text" w:hAnchor="page" w:y="1"/>
      <w:spacing w:line="360" w:lineRule="exact"/>
      <w:contextualSpacing/>
      <w:jc w:val="left"/>
      <w:textboxTightWrap w:val="allLines"/>
    </w:pPr>
    <w:rPr>
      <w:rFonts w:cs="Calibri Light (Überschriften)"/>
      <w:i/>
      <w:color w:val="EC6608"/>
      <w:sz w:val="26"/>
      <w:szCs w:val="23"/>
    </w:rPr>
  </w:style>
  <w:style w:type="paragraph" w:customStyle="1" w:styleId="InfoboxLINKSblau">
    <w:name w:val="Infobox_LINKS_blau"/>
    <w:basedOn w:val="InfoboxLINKSorange"/>
    <w:semiHidden/>
    <w:qFormat/>
    <w:rsid w:val="00650C58"/>
    <w:pPr>
      <w:framePr w:wrap="notBeside"/>
    </w:pPr>
    <w:rPr>
      <w:color w:val="005D89"/>
    </w:rPr>
  </w:style>
  <w:style w:type="paragraph" w:customStyle="1" w:styleId="InfoboxRECHTSorange">
    <w:name w:val="Infobox_RECHTS_orange"/>
    <w:basedOn w:val="InfoboxLINKSorange"/>
    <w:semiHidden/>
    <w:qFormat/>
    <w:rsid w:val="009B7081"/>
    <w:pPr>
      <w:framePr w:vSpace="0" w:wrap="notBeside" w:xAlign="right"/>
      <w:jc w:val="right"/>
    </w:pPr>
  </w:style>
  <w:style w:type="paragraph" w:customStyle="1" w:styleId="InfoboxRECHTSblau">
    <w:name w:val="Infobox_RECHTS_blau"/>
    <w:basedOn w:val="InfoboxRECHTSorange"/>
    <w:semiHidden/>
    <w:qFormat/>
    <w:rsid w:val="009B7081"/>
    <w:pPr>
      <w:framePr w:wrap="notBeside"/>
    </w:pPr>
    <w:rPr>
      <w:color w:val="005D89"/>
    </w:rPr>
  </w:style>
  <w:style w:type="character" w:customStyle="1" w:styleId="HervorhebungKMFAblau">
    <w:name w:val="Hervorhebung_KMFA_blau"/>
    <w:basedOn w:val="Hervorhebung"/>
    <w:uiPriority w:val="1"/>
    <w:qFormat/>
    <w:rsid w:val="00C73DEA"/>
    <w:rPr>
      <w:rFonts w:asciiTheme="majorHAnsi" w:hAnsiTheme="majorHAnsi"/>
      <w:b/>
      <w:i w:val="0"/>
      <w:iCs/>
      <w:color w:val="005D89"/>
    </w:rPr>
  </w:style>
  <w:style w:type="table" w:styleId="TabellemithellemGitternetz">
    <w:name w:val="Grid Table Light"/>
    <w:basedOn w:val="NormaleTabelle"/>
    <w:uiPriority w:val="40"/>
    <w:rsid w:val="003F1E12"/>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paragraph" w:styleId="Datum">
    <w:name w:val="Date"/>
    <w:basedOn w:val="Standard"/>
    <w:next w:val="Standard"/>
    <w:link w:val="DatumZchn"/>
    <w:uiPriority w:val="99"/>
    <w:qFormat/>
    <w:rsid w:val="00670161"/>
    <w:pPr>
      <w:framePr w:wrap="around" w:hAnchor="margin" w:xAlign="right" w:yAlign="bottom"/>
      <w:jc w:val="right"/>
    </w:pPr>
    <w:rPr>
      <w:color w:val="FFFFFF" w:themeColor="background1"/>
      <w:sz w:val="32"/>
    </w:rPr>
  </w:style>
  <w:style w:type="character" w:customStyle="1" w:styleId="DatumZchn">
    <w:name w:val="Datum Zchn"/>
    <w:basedOn w:val="Absatz-Standardschriftart"/>
    <w:link w:val="Datum"/>
    <w:uiPriority w:val="99"/>
    <w:rsid w:val="00670161"/>
    <w:rPr>
      <w:color w:val="FFFFFF" w:themeColor="background1"/>
      <w:sz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697046141">
      <w:bodyDiv w:val="1"/>
      <w:marLeft w:val="0"/>
      <w:marRight w:val="0"/>
      <w:marTop w:val="0"/>
      <w:marBottom w:val="0"/>
      <w:divBdr>
        <w:top w:val="none" w:sz="0" w:space="0" w:color="auto"/>
        <w:left w:val="none" w:sz="0" w:space="0" w:color="auto"/>
        <w:bottom w:val="none" w:sz="0" w:space="0" w:color="auto"/>
        <w:right w:val="none" w:sz="0" w:space="0" w:color="auto"/>
      </w:divBdr>
    </w:div>
    <w:div w:id="1624769023">
      <w:bodyDiv w:val="1"/>
      <w:marLeft w:val="0"/>
      <w:marRight w:val="0"/>
      <w:marTop w:val="0"/>
      <w:marBottom w:val="0"/>
      <w:divBdr>
        <w:top w:val="none" w:sz="0" w:space="0" w:color="auto"/>
        <w:left w:val="none" w:sz="0" w:space="0" w:color="auto"/>
        <w:bottom w:val="none" w:sz="0" w:space="0" w:color="auto"/>
        <w:right w:val="none" w:sz="0" w:space="0" w:color="auto"/>
      </w:divBdr>
    </w:div>
    <w:div w:id="187946300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footer" Target="footer3.xml"/><Relationship Id="rId18" Type="http://schemas.openxmlformats.org/officeDocument/2006/relationships/image" Target="media/image5.png"/><Relationship Id="rId26" Type="http://schemas.openxmlformats.org/officeDocument/2006/relationships/image" Target="media/image13.png"/><Relationship Id="rId39" Type="http://schemas.openxmlformats.org/officeDocument/2006/relationships/oleObject" Target="file:///\\galatea\Projekt\BProjekte\KDB\Bericht\2024\1\Daten.xlsx!Quartal_0!%5bDaten.xlsx%5dQuartal_0%20Geschaeftslage_Oe" TargetMode="External"/><Relationship Id="rId21" Type="http://schemas.openxmlformats.org/officeDocument/2006/relationships/image" Target="media/image8.png"/><Relationship Id="rId34" Type="http://schemas.openxmlformats.org/officeDocument/2006/relationships/image" Target="media/image18.emf"/><Relationship Id="rId42" Type="http://schemas.openxmlformats.org/officeDocument/2006/relationships/image" Target="media/image22.emf"/><Relationship Id="rId47" Type="http://schemas.openxmlformats.org/officeDocument/2006/relationships/oleObject" Target="file:///\\galatea\Projekt\BProjekte\KDB\Bericht\2024\1\Daten.xlsx!Quartal_0!%5bDaten.xlsx%5dQuartal_0%20Erwartung_Oe" TargetMode="External"/><Relationship Id="rId50" Type="http://schemas.openxmlformats.org/officeDocument/2006/relationships/image" Target="media/image26.emf"/><Relationship Id="rId55" Type="http://schemas.openxmlformats.org/officeDocument/2006/relationships/header" Target="header6.xm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image" Target="media/image4.png"/><Relationship Id="rId20" Type="http://schemas.openxmlformats.org/officeDocument/2006/relationships/image" Target="media/image7.png"/><Relationship Id="rId29" Type="http://schemas.openxmlformats.org/officeDocument/2006/relationships/oleObject" Target="file:///\\galatea\Projekt\BProjekte\KDB\Bericht\2024\1\Daten.xlsx!Jahr_0!%5bDaten.xlsx%5dJahr_0%20Unom_Oe" TargetMode="External"/><Relationship Id="rId41" Type="http://schemas.openxmlformats.org/officeDocument/2006/relationships/oleObject" Target="file:///\\galatea\Projekt\BProjekte\KDB\Bericht\2024\1\Daten.xlsx!Quartal_0!%5bDaten.xlsx%5dQuartal_0%20Auftr" TargetMode="External"/><Relationship Id="rId54" Type="http://schemas.openxmlformats.org/officeDocument/2006/relationships/footer" Target="footer4.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24" Type="http://schemas.openxmlformats.org/officeDocument/2006/relationships/image" Target="media/image11.png"/><Relationship Id="rId32" Type="http://schemas.openxmlformats.org/officeDocument/2006/relationships/image" Target="media/image17.emf"/><Relationship Id="rId37" Type="http://schemas.openxmlformats.org/officeDocument/2006/relationships/oleObject" Target="file:///\\galatea\Projekt\BProjekte\KDB\Bericht\2024\1\Daten.xlsx!Jahr_0!%5bDaten.xlsx%5dJahr_0%20Investitionen" TargetMode="External"/><Relationship Id="rId40" Type="http://schemas.openxmlformats.org/officeDocument/2006/relationships/image" Target="media/image21.emf"/><Relationship Id="rId45" Type="http://schemas.openxmlformats.org/officeDocument/2006/relationships/oleObject" Target="file:///\\galatea\Projekt\BProjekte\KDB\Bericht\2024\1\Daten.xlsx!Quartal_0!%5bDaten.xlsx%5dQuartal_0%20UEntw_Oe" TargetMode="External"/><Relationship Id="rId53" Type="http://schemas.openxmlformats.org/officeDocument/2006/relationships/header" Target="header5.xml"/><Relationship Id="rId58" Type="http://schemas.openxmlformats.org/officeDocument/2006/relationships/footer" Target="footer6.xml"/><Relationship Id="rId5" Type="http://schemas.openxmlformats.org/officeDocument/2006/relationships/webSettings" Target="webSettings.xml"/><Relationship Id="rId15" Type="http://schemas.openxmlformats.org/officeDocument/2006/relationships/image" Target="media/image6.svg"/><Relationship Id="rId23" Type="http://schemas.openxmlformats.org/officeDocument/2006/relationships/image" Target="media/image10.png"/><Relationship Id="rId28" Type="http://schemas.openxmlformats.org/officeDocument/2006/relationships/image" Target="media/image15.emf"/><Relationship Id="rId36" Type="http://schemas.openxmlformats.org/officeDocument/2006/relationships/image" Target="media/image19.emf"/><Relationship Id="rId49" Type="http://schemas.openxmlformats.org/officeDocument/2006/relationships/oleObject" Target="file:///\\galatea\Projekt\BProjekte\KDB\Bericht\2024\1\Daten.xlsx!Quartal_0!%5bDaten.xlsx%5dQuartal_0%20ErwartungZ" TargetMode="External"/><Relationship Id="rId57" Type="http://schemas.openxmlformats.org/officeDocument/2006/relationships/footer" Target="footer5.xml"/><Relationship Id="rId61" Type="http://schemas.openxmlformats.org/officeDocument/2006/relationships/theme" Target="theme/theme1.xml"/><Relationship Id="rId10" Type="http://schemas.openxmlformats.org/officeDocument/2006/relationships/footer" Target="footer1.xml"/><Relationship Id="rId19" Type="http://schemas.openxmlformats.org/officeDocument/2006/relationships/image" Target="media/image6.png"/><Relationship Id="rId31" Type="http://schemas.openxmlformats.org/officeDocument/2006/relationships/oleObject" Target="file:///\\galatea\Projekt\BProjekte\KDB\Bericht\2024\1\Daten.xlsx!Jahr_0!%5bDaten.xlsx%5dJahr_0%20Preise_Oe" TargetMode="External"/><Relationship Id="rId44" Type="http://schemas.openxmlformats.org/officeDocument/2006/relationships/image" Target="media/image23.emf"/><Relationship Id="rId52" Type="http://schemas.openxmlformats.org/officeDocument/2006/relationships/header" Target="header4.xml"/><Relationship Id="rId60" Type="http://schemas.openxmlformats.org/officeDocument/2006/relationships/glossaryDocument" Target="glossary/document.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image" Target="media/image3.png"/><Relationship Id="rId22" Type="http://schemas.openxmlformats.org/officeDocument/2006/relationships/image" Target="media/image9.png"/><Relationship Id="rId27" Type="http://schemas.openxmlformats.org/officeDocument/2006/relationships/image" Target="media/image14.png"/><Relationship Id="rId30" Type="http://schemas.openxmlformats.org/officeDocument/2006/relationships/image" Target="media/image16.emf"/><Relationship Id="rId35" Type="http://schemas.openxmlformats.org/officeDocument/2006/relationships/oleObject" Target="file:///\\galatea\Projekt\BProjekte\KDB\Bericht\2024\1\Daten.xlsx!Jahr_0!%5bDaten.xlsx%5dJahr_0%20Export" TargetMode="External"/><Relationship Id="rId43" Type="http://schemas.openxmlformats.org/officeDocument/2006/relationships/oleObject" Target="file:///\\galatea\Projekt\BProjekte\KDB\Bericht\2024\1\Daten.xlsx!Quartal_0!%5bDaten.xlsx%5dQuartal_0%20zAuftr" TargetMode="External"/><Relationship Id="rId48" Type="http://schemas.openxmlformats.org/officeDocument/2006/relationships/image" Target="media/image25.emf"/><Relationship Id="rId56" Type="http://schemas.openxmlformats.org/officeDocument/2006/relationships/header" Target="header7.xml"/><Relationship Id="rId8" Type="http://schemas.openxmlformats.org/officeDocument/2006/relationships/header" Target="header1.xml"/><Relationship Id="rId51" Type="http://schemas.openxmlformats.org/officeDocument/2006/relationships/oleObject" Target="file:///\\galatea\Projekt\BProjekte\KDB\Bericht\2024\1\Daten.xlsx!Quartal_0!%5bDaten.xlsx%5dQuartal_0%20PP_Oe" TargetMode="External"/><Relationship Id="rId3" Type="http://schemas.openxmlformats.org/officeDocument/2006/relationships/styles" Target="styles.xml"/><Relationship Id="rId12" Type="http://schemas.openxmlformats.org/officeDocument/2006/relationships/header" Target="header3.xml"/><Relationship Id="rId17" Type="http://schemas.openxmlformats.org/officeDocument/2006/relationships/image" Target="media/image8.svg"/><Relationship Id="rId25" Type="http://schemas.openxmlformats.org/officeDocument/2006/relationships/image" Target="media/image12.png"/><Relationship Id="rId33" Type="http://schemas.openxmlformats.org/officeDocument/2006/relationships/oleObject" Target="file:///\\galatea\Projekt\BProjekte\KDB\Bericht\2024\1\Daten.xlsx!Jahr_0!%5bDaten.xlsx%5dJahr_0%20Ureal_Oe" TargetMode="External"/><Relationship Id="rId38" Type="http://schemas.openxmlformats.org/officeDocument/2006/relationships/image" Target="media/image20.emf"/><Relationship Id="rId46" Type="http://schemas.openxmlformats.org/officeDocument/2006/relationships/image" Target="media/image24.emf"/><Relationship Id="rId59" Type="http://schemas.openxmlformats.org/officeDocument/2006/relationships/fontTable" Target="fontTable.xml"/></Relationships>
</file>

<file path=word/_rels/header1.xml.rels><?xml version="1.0" encoding="UTF-8" standalone="yes"?>
<Relationships xmlns="http://schemas.openxmlformats.org/package/2006/relationships"><Relationship Id="rId2" Type="http://schemas.openxmlformats.org/officeDocument/2006/relationships/image" Target="media/image2.svg"/><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3" Type="http://schemas.openxmlformats.org/officeDocument/2006/relationships/image" Target="media/image2.svg"/><Relationship Id="rId1" Type="http://schemas.openxmlformats.org/officeDocument/2006/relationships/image" Target="media/image1.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 Id="rId5" Type="http://schemas.openxmlformats.org/officeDocument/2006/relationships/image" Target="media/image4.svg"/></Relationships>
</file>

<file path=word/_rels/header4.xml.rels><?xml version="1.0" encoding="UTF-8" standalone="yes"?>
<Relationships xmlns="http://schemas.openxmlformats.org/package/2006/relationships"><Relationship Id="rId1" Type="http://schemas.openxmlformats.org/officeDocument/2006/relationships/image" Target="media/image1.png"/><Relationship Id="rId6" Type="http://schemas.openxmlformats.org/officeDocument/2006/relationships/image" Target="media/image2.svg"/></Relationships>
</file>

<file path=word/_rels/settings.xml.rels><?xml version="1.0" encoding="UTF-8" standalone="yes"?>
<Relationships xmlns="http://schemas.openxmlformats.org/package/2006/relationships"><Relationship Id="rId1" Type="http://schemas.openxmlformats.org/officeDocument/2006/relationships/attachedTemplate" Target="file:///N:\Vorlagen\DE_Bericht_1seitig.dotx"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docParts>
    <w:docPart>
      <w:docPartPr>
        <w:name w:val="B3204DA62A9840D79E2CC77126BF7064"/>
        <w:category>
          <w:name w:val="Allgemein"/>
          <w:gallery w:val="placeholder"/>
        </w:category>
        <w:types>
          <w:type w:val="bbPlcHdr"/>
        </w:types>
        <w:behaviors>
          <w:behavior w:val="content"/>
        </w:behaviors>
        <w:guid w:val="{76F775D1-53E5-4874-9E44-92586E260786}"/>
      </w:docPartPr>
      <w:docPartBody>
        <w:p w:rsidR="00D17D6A" w:rsidRDefault="00D17D6A">
          <w:pPr>
            <w:pStyle w:val="B3204DA62A9840D79E2CC77126BF7064"/>
          </w:pPr>
          <w:r w:rsidRPr="008F75B2">
            <w:rPr>
              <w:rStyle w:val="Platzhaltertext"/>
            </w:rPr>
            <w:t>[Titel]</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Light">
    <w:panose1 w:val="020F03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Times New Roman (Überschriften">
    <w:altName w:val="Times New Roman"/>
    <w:panose1 w:val="00000000000000000000"/>
    <w:charset w:val="00"/>
    <w:family w:val="roman"/>
    <w:notTrueType/>
    <w:pitch w:val="default"/>
  </w:font>
  <w:font w:name="Calibri (Textkörper)">
    <w:altName w:val="Calibri"/>
    <w:panose1 w:val="00000000000000000000"/>
    <w:charset w:val="00"/>
    <w:family w:val="roman"/>
    <w:notTrueType/>
    <w:pitch w:val="default"/>
  </w:font>
  <w:font w:name="Times New Roman (Textkörper CS)">
    <w:altName w:val="Times New Roman"/>
    <w:charset w:val="00"/>
    <w:family w:val="roman"/>
    <w:pitch w:val="default"/>
  </w:font>
  <w:font w:name="Calibri Light (Überschriften)">
    <w:altName w:val="Calibri Light"/>
    <w:panose1 w:val="00000000000000000000"/>
    <w:charset w:val="00"/>
    <w:family w:val="roman"/>
    <w:notTrueType/>
    <w:pitch w:val="default"/>
  </w:font>
  <w:font w:name="Calibri">
    <w:panose1 w:val="020F0502020204030204"/>
    <w:charset w:val="00"/>
    <w:family w:val="swiss"/>
    <w:pitch w:val="variable"/>
    <w:sig w:usb0="E4002EFF" w:usb1="C2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17D6A"/>
    <w:rsid w:val="000D3E6E"/>
    <w:rsid w:val="00194B75"/>
    <w:rsid w:val="002D5CC4"/>
    <w:rsid w:val="008000E1"/>
    <w:rsid w:val="00B9097A"/>
    <w:rsid w:val="00CF1026"/>
    <w:rsid w:val="00D17D6A"/>
    <w:rsid w:val="00D928BA"/>
    <w:rsid w:val="00F54A9F"/>
  </w:rsids>
  <m:mathPr>
    <m:mathFont m:val="Cambria Math"/>
    <m:brkBin m:val="before"/>
    <m:brkBinSub m:val="--"/>
    <m:smallFrac m:val="0"/>
    <m:dispDef/>
    <m:lMargin m:val="0"/>
    <m:rMargin m:val="0"/>
    <m:defJc m:val="centerGroup"/>
    <m:wrapIndent m:val="1440"/>
    <m:intLim m:val="subSup"/>
    <m:naryLim m:val="undOvr"/>
  </m:mathPr>
  <w:themeFontLang w:val="de-AT"/>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de-AT" w:eastAsia="de-AT"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qFormat/>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styleId="Platzhaltertext">
    <w:name w:val="Placeholder Text"/>
    <w:basedOn w:val="Absatz-Standardschriftart"/>
    <w:uiPriority w:val="99"/>
    <w:semiHidden/>
    <w:rPr>
      <w:color w:val="808080"/>
    </w:rPr>
  </w:style>
  <w:style w:type="paragraph" w:customStyle="1" w:styleId="6DB7DCC2F30C4F57BFA93840CD19A306">
    <w:name w:val="6DB7DCC2F30C4F57BFA93840CD19A306"/>
  </w:style>
  <w:style w:type="paragraph" w:customStyle="1" w:styleId="D1C5928D2890473E8F20812C937C5DDD">
    <w:name w:val="D1C5928D2890473E8F20812C937C5DDD"/>
  </w:style>
  <w:style w:type="paragraph" w:customStyle="1" w:styleId="B3204DA62A9840D79E2CC77126BF7064">
    <w:name w:val="B3204DA62A9840D79E2CC77126BF7064"/>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theme/theme1.xml><?xml version="1.0" encoding="utf-8"?>
<a:theme xmlns:a="http://schemas.openxmlformats.org/drawingml/2006/main" name="KMFAn">
  <a:themeElements>
    <a:clrScheme name="KMFA">
      <a:dk1>
        <a:sysClr val="windowText" lastClr="000000"/>
      </a:dk1>
      <a:lt1>
        <a:sysClr val="window" lastClr="FFFFFF"/>
      </a:lt1>
      <a:dk2>
        <a:srgbClr val="5CB885"/>
      </a:dk2>
      <a:lt2>
        <a:srgbClr val="DD696A"/>
      </a:lt2>
      <a:accent1>
        <a:srgbClr val="005D89"/>
      </a:accent1>
      <a:accent2>
        <a:srgbClr val="003955"/>
      </a:accent2>
      <a:accent3>
        <a:srgbClr val="EC6608"/>
      </a:accent3>
      <a:accent4>
        <a:srgbClr val="BEB293"/>
      </a:accent4>
      <a:accent5>
        <a:srgbClr val="AEC1C7"/>
      </a:accent5>
      <a:accent6>
        <a:srgbClr val="ECC95B"/>
      </a:accent6>
      <a:hlink>
        <a:srgbClr val="005D89"/>
      </a:hlink>
      <a:folHlink>
        <a:srgbClr val="EC6608"/>
      </a:folHlink>
    </a:clrScheme>
    <a:fontScheme name="KMFA">
      <a:majorFont>
        <a:latin typeface="Calibri Light"/>
        <a:ea typeface=""/>
        <a:cs typeface=""/>
      </a:majorFont>
      <a:minorFont>
        <a:latin typeface="Calibri Light"/>
        <a:ea typeface=""/>
        <a:cs typeface=""/>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23E6586-8E18-406D-9FE8-D9941BE9A60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DE_Bericht_1seitig.dotx</Template>
  <TotalTime>0</TotalTime>
  <Pages>19</Pages>
  <Words>2892</Words>
  <Characters>18221</Characters>
  <Application>Microsoft Office Word</Application>
  <DocSecurity>0</DocSecurity>
  <Lines>151</Lines>
  <Paragraphs>42</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21071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Fürst Cornelia</dc:creator>
  <cp:keywords/>
  <dc:description/>
  <cp:lastModifiedBy>Fürst Cornelia</cp:lastModifiedBy>
  <cp:revision>16</cp:revision>
  <dcterms:created xsi:type="dcterms:W3CDTF">2024-03-28T14:25:00Z</dcterms:created>
  <dcterms:modified xsi:type="dcterms:W3CDTF">2024-04-02T14:15:00Z</dcterms:modified>
</cp:coreProperties>
</file>